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59689">
      <w:pPr>
        <w:spacing w:line="820" w:lineRule="exact"/>
        <w:ind w:firstLine="1094"/>
        <w:jc w:val="center"/>
        <w:rPr>
          <w:rFonts w:eastAsia="方正小标宋简体"/>
          <w:color w:val="000000" w:themeColor="text1"/>
          <w:sz w:val="72"/>
          <w:szCs w:val="72"/>
          <w14:textFill>
            <w14:solidFill>
              <w14:schemeClr w14:val="tx1"/>
            </w14:solidFill>
          </w14:textFill>
        </w:rPr>
      </w:pPr>
      <w:bookmarkStart w:id="2" w:name="_GoBack"/>
      <w:bookmarkEnd w:id="2"/>
      <w:r>
        <w:rPr>
          <w:rFonts w:hint="eastAsia" w:eastAsia="方正小标宋简体"/>
          <w:color w:val="000000" w:themeColor="text1"/>
          <w:sz w:val="72"/>
          <w:szCs w:val="72"/>
          <w14:textFill>
            <w14:solidFill>
              <w14:schemeClr w14:val="tx1"/>
            </w14:solidFill>
          </w14:textFill>
        </w:rPr>
        <w:t>国家标准</w:t>
      </w:r>
    </w:p>
    <w:p w14:paraId="1F7A9D17">
      <w:pPr>
        <w:spacing w:line="820" w:lineRule="exact"/>
        <w:ind w:firstLine="790"/>
        <w:jc w:val="center"/>
        <w:rPr>
          <w:rFonts w:eastAsia="方正小标宋简体"/>
          <w:color w:val="000000" w:themeColor="text1"/>
          <w:sz w:val="52"/>
          <w:szCs w:val="52"/>
          <w14:textFill>
            <w14:solidFill>
              <w14:schemeClr w14:val="tx1"/>
            </w14:solidFill>
          </w14:textFill>
        </w:rPr>
      </w:pPr>
      <w:r>
        <w:rPr>
          <w:rFonts w:eastAsia="方正小标宋简体"/>
          <w:color w:val="000000" w:themeColor="text1"/>
          <w:sz w:val="52"/>
          <w:szCs w:val="52"/>
          <w14:textFill>
            <w14:solidFill>
              <w14:schemeClr w14:val="tx1"/>
            </w14:solidFill>
          </w14:textFill>
        </w:rPr>
        <w:t>GB/T 8290-XXXX</w:t>
      </w:r>
      <w:r>
        <w:rPr>
          <w:rFonts w:hint="eastAsia" w:eastAsia="方正小标宋简体"/>
          <w:color w:val="000000" w:themeColor="text1"/>
          <w:sz w:val="52"/>
          <w:szCs w:val="52"/>
          <w14:textFill>
            <w14:solidFill>
              <w14:schemeClr w14:val="tx1"/>
            </w14:solidFill>
          </w14:textFill>
        </w:rPr>
        <w:t>《胶</w:t>
      </w:r>
      <w:r>
        <w:rPr>
          <w:rFonts w:hint="eastAsia" w:eastAsia="黑体"/>
          <w:color w:val="000000" w:themeColor="text1"/>
          <w:sz w:val="52"/>
          <w:szCs w:val="52"/>
          <w14:textFill>
            <w14:solidFill>
              <w14:schemeClr w14:val="tx1"/>
            </w14:solidFill>
          </w14:textFill>
        </w:rPr>
        <w:t>乳 取样</w:t>
      </w:r>
      <w:r>
        <w:rPr>
          <w:rFonts w:hint="eastAsia" w:eastAsia="方正小标宋简体"/>
          <w:color w:val="000000" w:themeColor="text1"/>
          <w:sz w:val="52"/>
          <w:szCs w:val="52"/>
          <w14:textFill>
            <w14:solidFill>
              <w14:schemeClr w14:val="tx1"/>
            </w14:solidFill>
          </w14:textFill>
        </w:rPr>
        <w:t>》</w:t>
      </w:r>
    </w:p>
    <w:p w14:paraId="678421D5">
      <w:pPr>
        <w:spacing w:line="820" w:lineRule="exact"/>
        <w:ind w:firstLine="730"/>
        <w:jc w:val="center"/>
        <w:rPr>
          <w:rFonts w:eastAsia="黑体"/>
          <w:color w:val="000000" w:themeColor="text1"/>
          <w:sz w:val="48"/>
          <w:szCs w:val="48"/>
          <w14:textFill>
            <w14:solidFill>
              <w14:schemeClr w14:val="tx1"/>
            </w14:solidFill>
          </w14:textFill>
        </w:rPr>
      </w:pPr>
    </w:p>
    <w:p w14:paraId="5FE6C13F">
      <w:pPr>
        <w:spacing w:line="820" w:lineRule="exact"/>
        <w:ind w:firstLine="730"/>
        <w:jc w:val="center"/>
        <w:rPr>
          <w:rFonts w:eastAsia="黑体"/>
          <w:color w:val="000000" w:themeColor="text1"/>
          <w:sz w:val="48"/>
          <w:szCs w:val="48"/>
          <w14:textFill>
            <w14:solidFill>
              <w14:schemeClr w14:val="tx1"/>
            </w14:solidFill>
          </w14:textFill>
        </w:rPr>
      </w:pPr>
      <w:r>
        <w:rPr>
          <w:rFonts w:hint="eastAsia" w:eastAsia="黑体"/>
          <w:color w:val="000000" w:themeColor="text1"/>
          <w:sz w:val="48"/>
          <w:szCs w:val="48"/>
          <w14:textFill>
            <w14:solidFill>
              <w14:schemeClr w14:val="tx1"/>
            </w14:solidFill>
          </w14:textFill>
        </w:rPr>
        <w:t>（征求意见稿）</w:t>
      </w:r>
    </w:p>
    <w:p w14:paraId="6F054084">
      <w:pPr>
        <w:spacing w:line="820" w:lineRule="exact"/>
        <w:ind w:firstLine="730"/>
        <w:jc w:val="center"/>
        <w:rPr>
          <w:rFonts w:eastAsia="黑体"/>
          <w:color w:val="000000" w:themeColor="text1"/>
          <w:sz w:val="48"/>
          <w:szCs w:val="48"/>
          <w14:textFill>
            <w14:solidFill>
              <w14:schemeClr w14:val="tx1"/>
            </w14:solidFill>
          </w14:textFill>
        </w:rPr>
      </w:pPr>
    </w:p>
    <w:p w14:paraId="2E232A2A">
      <w:pPr>
        <w:spacing w:line="820" w:lineRule="exact"/>
        <w:ind w:firstLine="730"/>
        <w:jc w:val="center"/>
        <w:rPr>
          <w:rFonts w:eastAsia="黑体"/>
          <w:color w:val="000000" w:themeColor="text1"/>
          <w:sz w:val="48"/>
          <w:szCs w:val="48"/>
          <w14:textFill>
            <w14:solidFill>
              <w14:schemeClr w14:val="tx1"/>
            </w14:solidFill>
          </w14:textFill>
        </w:rPr>
      </w:pPr>
    </w:p>
    <w:p w14:paraId="564817C2">
      <w:pPr>
        <w:spacing w:line="820" w:lineRule="exact"/>
        <w:ind w:firstLine="1094"/>
        <w:jc w:val="center"/>
        <w:rPr>
          <w:rFonts w:eastAsia="黑体"/>
          <w:color w:val="000000" w:themeColor="text1"/>
          <w:sz w:val="72"/>
          <w:szCs w:val="72"/>
          <w14:textFill>
            <w14:solidFill>
              <w14:schemeClr w14:val="tx1"/>
            </w14:solidFill>
          </w14:textFill>
        </w:rPr>
      </w:pPr>
      <w:r>
        <w:rPr>
          <w:rFonts w:hint="eastAsia" w:eastAsia="黑体"/>
          <w:color w:val="000000" w:themeColor="text1"/>
          <w:sz w:val="72"/>
          <w:szCs w:val="72"/>
          <w14:textFill>
            <w14:solidFill>
              <w14:schemeClr w14:val="tx1"/>
            </w14:solidFill>
          </w14:textFill>
        </w:rPr>
        <w:t>编</w:t>
      </w:r>
    </w:p>
    <w:p w14:paraId="30F5365C">
      <w:pPr>
        <w:spacing w:line="820" w:lineRule="exact"/>
        <w:ind w:firstLine="1094"/>
        <w:jc w:val="center"/>
        <w:rPr>
          <w:rFonts w:eastAsia="黑体"/>
          <w:color w:val="000000" w:themeColor="text1"/>
          <w:sz w:val="72"/>
          <w:szCs w:val="72"/>
          <w14:textFill>
            <w14:solidFill>
              <w14:schemeClr w14:val="tx1"/>
            </w14:solidFill>
          </w14:textFill>
        </w:rPr>
      </w:pPr>
      <w:r>
        <w:rPr>
          <w:rFonts w:hint="eastAsia" w:eastAsia="黑体"/>
          <w:color w:val="000000" w:themeColor="text1"/>
          <w:sz w:val="72"/>
          <w:szCs w:val="72"/>
          <w14:textFill>
            <w14:solidFill>
              <w14:schemeClr w14:val="tx1"/>
            </w14:solidFill>
          </w14:textFill>
        </w:rPr>
        <w:t>制</w:t>
      </w:r>
    </w:p>
    <w:p w14:paraId="34077585">
      <w:pPr>
        <w:spacing w:line="820" w:lineRule="exact"/>
        <w:ind w:firstLine="1094"/>
        <w:jc w:val="center"/>
        <w:rPr>
          <w:rFonts w:eastAsia="黑体"/>
          <w:color w:val="000000" w:themeColor="text1"/>
          <w:sz w:val="72"/>
          <w:szCs w:val="72"/>
          <w14:textFill>
            <w14:solidFill>
              <w14:schemeClr w14:val="tx1"/>
            </w14:solidFill>
          </w14:textFill>
        </w:rPr>
      </w:pPr>
      <w:r>
        <w:rPr>
          <w:rFonts w:hint="eastAsia" w:eastAsia="黑体"/>
          <w:color w:val="000000" w:themeColor="text1"/>
          <w:sz w:val="72"/>
          <w:szCs w:val="72"/>
          <w14:textFill>
            <w14:solidFill>
              <w14:schemeClr w14:val="tx1"/>
            </w14:solidFill>
          </w14:textFill>
        </w:rPr>
        <w:t>说</w:t>
      </w:r>
    </w:p>
    <w:p w14:paraId="25628DFF">
      <w:pPr>
        <w:spacing w:line="820" w:lineRule="exact"/>
        <w:ind w:firstLine="1094"/>
        <w:jc w:val="center"/>
        <w:rPr>
          <w:rFonts w:eastAsia="黑体"/>
          <w:color w:val="000000" w:themeColor="text1"/>
          <w:sz w:val="52"/>
          <w:szCs w:val="52"/>
          <w14:textFill>
            <w14:solidFill>
              <w14:schemeClr w14:val="tx1"/>
            </w14:solidFill>
          </w14:textFill>
        </w:rPr>
      </w:pPr>
      <w:r>
        <w:rPr>
          <w:rFonts w:hint="eastAsia" w:eastAsia="黑体"/>
          <w:color w:val="000000" w:themeColor="text1"/>
          <w:sz w:val="72"/>
          <w:szCs w:val="72"/>
          <w14:textFill>
            <w14:solidFill>
              <w14:schemeClr w14:val="tx1"/>
            </w14:solidFill>
          </w14:textFill>
        </w:rPr>
        <w:t>明</w:t>
      </w:r>
    </w:p>
    <w:p w14:paraId="2D122273">
      <w:pPr>
        <w:spacing w:line="820" w:lineRule="exact"/>
        <w:ind w:firstLine="790"/>
        <w:jc w:val="center"/>
        <w:rPr>
          <w:rFonts w:eastAsia="黑体"/>
          <w:color w:val="000000" w:themeColor="text1"/>
          <w:sz w:val="52"/>
          <w:szCs w:val="52"/>
          <w14:textFill>
            <w14:solidFill>
              <w14:schemeClr w14:val="tx1"/>
            </w14:solidFill>
          </w14:textFill>
        </w:rPr>
      </w:pPr>
    </w:p>
    <w:p w14:paraId="21CD1037">
      <w:pPr>
        <w:spacing w:line="820" w:lineRule="exact"/>
        <w:ind w:firstLine="790"/>
        <w:jc w:val="center"/>
        <w:rPr>
          <w:rFonts w:eastAsia="黑体"/>
          <w:color w:val="000000" w:themeColor="text1"/>
          <w:sz w:val="52"/>
          <w:szCs w:val="52"/>
          <w14:textFill>
            <w14:solidFill>
              <w14:schemeClr w14:val="tx1"/>
            </w14:solidFill>
          </w14:textFill>
        </w:rPr>
      </w:pPr>
    </w:p>
    <w:p w14:paraId="49A50FD6">
      <w:pPr>
        <w:spacing w:line="660" w:lineRule="exact"/>
        <w:ind w:firstLine="547"/>
        <w:jc w:val="center"/>
        <w:rPr>
          <w:rFonts w:eastAsia="黑体"/>
          <w:color w:val="000000" w:themeColor="text1"/>
          <w:sz w:val="36"/>
          <w:szCs w:val="36"/>
          <w14:textFill>
            <w14:solidFill>
              <w14:schemeClr w14:val="tx1"/>
            </w14:solidFill>
          </w14:textFill>
        </w:rPr>
      </w:pPr>
      <w:r>
        <w:rPr>
          <w:rFonts w:hint="eastAsia" w:eastAsia="黑体"/>
          <w:color w:val="000000" w:themeColor="text1"/>
          <w:sz w:val="36"/>
          <w:szCs w:val="36"/>
          <w14:textFill>
            <w14:solidFill>
              <w14:schemeClr w14:val="tx1"/>
            </w14:solidFill>
          </w14:textFill>
        </w:rPr>
        <w:t>《胶乳 取样》</w:t>
      </w:r>
    </w:p>
    <w:p w14:paraId="0D64463B">
      <w:pPr>
        <w:spacing w:line="660" w:lineRule="exact"/>
        <w:ind w:firstLine="547"/>
        <w:jc w:val="center"/>
        <w:rPr>
          <w:rFonts w:eastAsia="黑体"/>
          <w:color w:val="000000" w:themeColor="text1"/>
          <w:sz w:val="36"/>
          <w:szCs w:val="36"/>
          <w14:textFill>
            <w14:solidFill>
              <w14:schemeClr w14:val="tx1"/>
            </w14:solidFill>
          </w14:textFill>
        </w:rPr>
      </w:pPr>
      <w:r>
        <w:rPr>
          <w:rFonts w:hint="eastAsia" w:eastAsia="黑体"/>
          <w:color w:val="000000" w:themeColor="text1"/>
          <w:sz w:val="36"/>
          <w:szCs w:val="36"/>
          <w14:textFill>
            <w14:solidFill>
              <w14:schemeClr w14:val="tx1"/>
            </w14:solidFill>
          </w14:textFill>
        </w:rPr>
        <w:t>修订工作组</w:t>
      </w:r>
    </w:p>
    <w:p w14:paraId="5FA1458A">
      <w:pPr>
        <w:spacing w:line="660" w:lineRule="exact"/>
        <w:ind w:firstLine="547"/>
        <w:jc w:val="center"/>
        <w:rPr>
          <w:rFonts w:eastAsia="黑体"/>
          <w:color w:val="000000" w:themeColor="text1"/>
          <w:sz w:val="36"/>
          <w:szCs w:val="36"/>
          <w14:textFill>
            <w14:solidFill>
              <w14:schemeClr w14:val="tx1"/>
            </w14:solidFill>
          </w14:textFill>
        </w:rPr>
      </w:pPr>
      <w:r>
        <w:rPr>
          <w:rFonts w:eastAsia="黑体"/>
          <w:color w:val="000000" w:themeColor="text1"/>
          <w:sz w:val="36"/>
          <w:szCs w:val="36"/>
          <w14:textFill>
            <w14:solidFill>
              <w14:schemeClr w14:val="tx1"/>
            </w14:solidFill>
          </w14:textFill>
        </w:rPr>
        <w:t>2025</w:t>
      </w:r>
      <w:r>
        <w:rPr>
          <w:rFonts w:hint="eastAsia" w:eastAsia="黑体"/>
          <w:color w:val="000000" w:themeColor="text1"/>
          <w:sz w:val="36"/>
          <w:szCs w:val="36"/>
          <w14:textFill>
            <w14:solidFill>
              <w14:schemeClr w14:val="tx1"/>
            </w14:solidFill>
          </w14:textFill>
        </w:rPr>
        <w:t>年</w:t>
      </w:r>
      <w:r>
        <w:rPr>
          <w:rFonts w:eastAsia="黑体"/>
          <w:color w:val="000000" w:themeColor="text1"/>
          <w:sz w:val="36"/>
          <w:szCs w:val="36"/>
          <w14:textFill>
            <w14:solidFill>
              <w14:schemeClr w14:val="tx1"/>
            </w14:solidFill>
          </w14:textFill>
        </w:rPr>
        <w:t>8</w:t>
      </w:r>
      <w:r>
        <w:rPr>
          <w:rFonts w:hint="eastAsia" w:eastAsia="黑体"/>
          <w:color w:val="000000" w:themeColor="text1"/>
          <w:sz w:val="36"/>
          <w:szCs w:val="36"/>
          <w14:textFill>
            <w14:solidFill>
              <w14:schemeClr w14:val="tx1"/>
            </w14:solidFill>
          </w14:textFill>
        </w:rPr>
        <w:t>月</w:t>
      </w:r>
    </w:p>
    <w:p w14:paraId="233FF3C7">
      <w:pPr>
        <w:adjustRightInd w:val="0"/>
        <w:snapToGrid w:val="0"/>
        <w:ind w:firstLine="486"/>
        <w:jc w:val="left"/>
        <w:rPr>
          <w:rFonts w:eastAsia="黑体"/>
          <w:bCs/>
          <w:color w:val="000000" w:themeColor="text1"/>
          <w:kern w:val="44"/>
          <w:sz w:val="32"/>
          <w14:textFill>
            <w14:solidFill>
              <w14:schemeClr w14:val="tx1"/>
            </w14:solidFill>
          </w14:textFill>
        </w:rPr>
        <w:sectPr>
          <w:pgSz w:w="11906" w:h="16838"/>
          <w:pgMar w:top="2098" w:right="1474" w:bottom="1985" w:left="1588" w:header="851" w:footer="992" w:gutter="0"/>
          <w:pgNumType w:start="0"/>
          <w:cols w:space="720" w:num="1"/>
          <w:docGrid w:type="lines" w:linePitch="312" w:charSpace="0"/>
        </w:sectPr>
      </w:pPr>
      <w:bookmarkStart w:id="0" w:name="OLE_LINK12"/>
    </w:p>
    <w:p w14:paraId="4B67D5FB">
      <w:pPr>
        <w:adjustRightInd w:val="0"/>
        <w:snapToGrid w:val="0"/>
        <w:spacing w:line="520" w:lineRule="exact"/>
        <w:jc w:val="center"/>
        <w:rPr>
          <w:rFonts w:ascii="黑体" w:hAnsi="黑体" w:eastAsia="黑体" w:cs="黑体"/>
          <w:bCs/>
          <w:color w:val="000000" w:themeColor="text1"/>
          <w:kern w:val="44"/>
          <w:sz w:val="32"/>
          <w:szCs w:val="32"/>
          <w14:textFill>
            <w14:solidFill>
              <w14:schemeClr w14:val="tx1"/>
            </w14:solidFill>
          </w14:textFill>
        </w:rPr>
      </w:pPr>
      <w:r>
        <w:rPr>
          <w:rFonts w:ascii="黑体" w:hAnsi="黑体" w:eastAsia="黑体" w:cs="黑体"/>
          <w:bCs/>
          <w:color w:val="000000" w:themeColor="text1"/>
          <w:kern w:val="44"/>
          <w:sz w:val="32"/>
          <w:szCs w:val="32"/>
          <w14:textFill>
            <w14:solidFill>
              <w14:schemeClr w14:val="tx1"/>
            </w14:solidFill>
          </w14:textFill>
        </w:rPr>
        <w:t xml:space="preserve">GB/T 8290-XXXX《胶乳 </w:t>
      </w:r>
      <w:r>
        <w:rPr>
          <w:rFonts w:hint="eastAsia" w:ascii="黑体" w:hAnsi="黑体" w:eastAsia="黑体" w:cs="黑体"/>
          <w:bCs/>
          <w:color w:val="000000" w:themeColor="text1"/>
          <w:kern w:val="44"/>
          <w:sz w:val="32"/>
          <w:szCs w:val="32"/>
          <w14:textFill>
            <w14:solidFill>
              <w14:schemeClr w14:val="tx1"/>
            </w14:solidFill>
          </w14:textFill>
        </w:rPr>
        <w:t>取样》</w:t>
      </w:r>
    </w:p>
    <w:p w14:paraId="7646374D">
      <w:pPr>
        <w:adjustRightInd w:val="0"/>
        <w:snapToGrid w:val="0"/>
        <w:spacing w:line="520" w:lineRule="exact"/>
        <w:jc w:val="center"/>
        <w:rPr>
          <w:rFonts w:ascii="黑体" w:hAnsi="黑体" w:eastAsia="黑体" w:cs="黑体"/>
          <w:bCs/>
          <w:color w:val="000000" w:themeColor="text1"/>
          <w:kern w:val="44"/>
          <w:sz w:val="32"/>
          <w:szCs w:val="32"/>
          <w14:textFill>
            <w14:solidFill>
              <w14:schemeClr w14:val="tx1"/>
            </w14:solidFill>
          </w14:textFill>
        </w:rPr>
      </w:pPr>
      <w:r>
        <w:rPr>
          <w:rFonts w:hint="eastAsia" w:ascii="黑体" w:hAnsi="黑体" w:eastAsia="黑体" w:cs="黑体"/>
          <w:bCs/>
          <w:color w:val="000000" w:themeColor="text1"/>
          <w:kern w:val="44"/>
          <w:sz w:val="32"/>
          <w:szCs w:val="32"/>
          <w14:textFill>
            <w14:solidFill>
              <w14:schemeClr w14:val="tx1"/>
            </w14:solidFill>
          </w14:textFill>
        </w:rPr>
        <w:t>（征求意见稿）编制说明</w:t>
      </w:r>
    </w:p>
    <w:p w14:paraId="0504D6FD">
      <w:pPr>
        <w:adjustRightInd w:val="0"/>
        <w:snapToGrid w:val="0"/>
        <w:spacing w:line="520" w:lineRule="exact"/>
        <w:jc w:val="center"/>
        <w:rPr>
          <w:rFonts w:ascii="黑体" w:hAnsi="黑体" w:eastAsia="黑体" w:cs="黑体"/>
          <w:bCs/>
          <w:color w:val="000000" w:themeColor="text1"/>
          <w:kern w:val="44"/>
          <w:sz w:val="28"/>
          <w:szCs w:val="28"/>
          <w14:textFill>
            <w14:solidFill>
              <w14:schemeClr w14:val="tx1"/>
            </w14:solidFill>
          </w14:textFill>
        </w:rPr>
      </w:pPr>
    </w:p>
    <w:p w14:paraId="58684E7A">
      <w:pPr>
        <w:adjustRightInd w:val="0"/>
        <w:snapToGrid w:val="0"/>
        <w:spacing w:line="560" w:lineRule="exact"/>
        <w:jc w:val="left"/>
        <w:rPr>
          <w:rFonts w:ascii="黑体" w:hAnsi="黑体" w:eastAsia="黑体" w:cs="黑体"/>
          <w:bCs/>
          <w:color w:val="000000" w:themeColor="text1"/>
          <w:kern w:val="44"/>
          <w:sz w:val="28"/>
          <w:szCs w:val="28"/>
          <w14:textFill>
            <w14:solidFill>
              <w14:schemeClr w14:val="tx1"/>
            </w14:solidFill>
          </w14:textFill>
        </w:rPr>
      </w:pPr>
      <w:r>
        <w:rPr>
          <w:rFonts w:ascii="黑体" w:hAnsi="黑体" w:eastAsia="黑体" w:cs="黑体"/>
          <w:bCs/>
          <w:color w:val="000000" w:themeColor="text1"/>
          <w:kern w:val="44"/>
          <w:sz w:val="28"/>
          <w:szCs w:val="28"/>
          <w14:textFill>
            <w14:solidFill>
              <w14:schemeClr w14:val="tx1"/>
            </w14:solidFill>
          </w14:textFill>
        </w:rPr>
        <w:t>1工作简况</w:t>
      </w:r>
    </w:p>
    <w:bookmarkEnd w:id="0"/>
    <w:p w14:paraId="32A5A996">
      <w:pPr>
        <w:adjustRightInd w:val="0"/>
        <w:snapToGrid w:val="0"/>
        <w:spacing w:line="560" w:lineRule="exact"/>
        <w:rPr>
          <w:rFonts w:ascii="黑体" w:hAnsi="黑体" w:eastAsia="黑体" w:cs="黑体"/>
          <w:bCs/>
          <w:color w:val="000000" w:themeColor="text1"/>
          <w:sz w:val="28"/>
          <w:szCs w:val="28"/>
          <w14:textFill>
            <w14:solidFill>
              <w14:schemeClr w14:val="tx1"/>
            </w14:solidFill>
          </w14:textFill>
        </w:rPr>
      </w:pPr>
      <w:r>
        <w:rPr>
          <w:rFonts w:ascii="黑体" w:hAnsi="黑体" w:eastAsia="黑体" w:cs="黑体"/>
          <w:bCs/>
          <w:color w:val="000000" w:themeColor="text1"/>
          <w:sz w:val="28"/>
          <w:szCs w:val="28"/>
          <w14:textFill>
            <w14:solidFill>
              <w14:schemeClr w14:val="tx1"/>
            </w14:solidFill>
          </w14:textFill>
        </w:rPr>
        <w:t>1.1任务来源</w:t>
      </w:r>
    </w:p>
    <w:p w14:paraId="022D31E9">
      <w:pPr>
        <w:adjustRightInd w:val="0"/>
        <w:snapToGrid w:val="0"/>
        <w:spacing w:line="560" w:lineRule="exact"/>
        <w:ind w:firstLine="560" w:firstLineChars="20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根据《国家标准化管理委员会关于下达2024年第九批推荐性国家标准计划及相关标准外文版计划的通知》（国标委</w:t>
      </w:r>
      <w:r>
        <w:rPr>
          <w:rFonts w:hint="eastAsia" w:eastAsia="仿宋_GB2312"/>
          <w:color w:val="000000" w:themeColor="text1"/>
          <w:sz w:val="28"/>
          <w:szCs w:val="28"/>
          <w:lang w:eastAsia="zh-CN"/>
          <w14:textFill>
            <w14:solidFill>
              <w14:schemeClr w14:val="tx1"/>
            </w14:solidFill>
          </w14:textFill>
        </w:rPr>
        <w:t>发</w:t>
      </w:r>
      <w:r>
        <w:rPr>
          <w:rFonts w:hint="eastAsia" w:eastAsia="仿宋_GB2312"/>
          <w:color w:val="000000" w:themeColor="text1"/>
          <w:sz w:val="28"/>
          <w:szCs w:val="28"/>
          <w14:textFill>
            <w14:solidFill>
              <w14:schemeClr w14:val="tx1"/>
            </w14:solidFill>
          </w14:textFill>
        </w:rPr>
        <w:t>〔202</w:t>
      </w:r>
      <w:r>
        <w:rPr>
          <w:rFonts w:eastAsia="仿宋_GB2312"/>
          <w:color w:val="000000" w:themeColor="text1"/>
          <w:sz w:val="28"/>
          <w:szCs w:val="28"/>
          <w14:textFill>
            <w14:solidFill>
              <w14:schemeClr w14:val="tx1"/>
            </w14:solidFill>
          </w14:textFill>
        </w:rPr>
        <w:t>4</w:t>
      </w:r>
      <w:r>
        <w:rPr>
          <w:rFonts w:hint="eastAsia" w:eastAsia="仿宋_GB2312"/>
          <w:color w:val="000000" w:themeColor="text1"/>
          <w:sz w:val="28"/>
          <w:szCs w:val="28"/>
          <w14:textFill>
            <w14:solidFill>
              <w14:schemeClr w14:val="tx1"/>
            </w14:solidFill>
          </w14:textFill>
        </w:rPr>
        <w:t>〕</w:t>
      </w:r>
      <w:r>
        <w:rPr>
          <w:rFonts w:eastAsia="仿宋_GB2312"/>
          <w:color w:val="000000" w:themeColor="text1"/>
          <w:sz w:val="28"/>
          <w:szCs w:val="28"/>
          <w14:textFill>
            <w14:solidFill>
              <w14:schemeClr w14:val="tx1"/>
            </w14:solidFill>
          </w14:textFill>
        </w:rPr>
        <w:t>53</w:t>
      </w:r>
      <w:r>
        <w:rPr>
          <w:rFonts w:hint="eastAsia" w:eastAsia="仿宋_GB2312"/>
          <w:color w:val="000000" w:themeColor="text1"/>
          <w:sz w:val="28"/>
          <w:szCs w:val="28"/>
          <w14:textFill>
            <w14:solidFill>
              <w14:schemeClr w14:val="tx1"/>
            </w14:solidFill>
          </w14:textFill>
        </w:rPr>
        <w:t>号），国家标准修订项目《胶乳 取样》（</w:t>
      </w:r>
      <w:r>
        <w:rPr>
          <w:rFonts w:hint="eastAsia" w:eastAsia="仿宋_GB2312"/>
          <w:color w:val="000000" w:themeColor="text1"/>
          <w:sz w:val="28"/>
          <w:szCs w:val="28"/>
          <w14:textFill>
            <w14:solidFill>
              <w14:schemeClr w14:val="tx1"/>
            </w14:solidFill>
          </w14:textFill>
        </w:rPr>
        <w:t>计划号</w:t>
      </w:r>
      <w:r>
        <w:rPr>
          <w:rFonts w:eastAsia="仿宋_GB2312"/>
          <w:color w:val="000000" w:themeColor="text1"/>
          <w:sz w:val="28"/>
          <w:szCs w:val="28"/>
          <w14:textFill>
            <w14:solidFill>
              <w14:schemeClr w14:val="tx1"/>
            </w14:solidFill>
          </w14:textFill>
        </w:rPr>
        <w:t>20243472</w:t>
      </w:r>
      <w:r>
        <w:rPr>
          <w:rFonts w:hint="eastAsia" w:eastAsia="仿宋_GB2312"/>
          <w:color w:val="000000" w:themeColor="text1"/>
          <w:sz w:val="28"/>
          <w:szCs w:val="28"/>
          <w14:textFill>
            <w14:solidFill>
              <w14:schemeClr w14:val="tx1"/>
            </w14:solidFill>
          </w14:textFill>
        </w:rPr>
        <w:t>-T-606）</w:t>
      </w:r>
      <w:r>
        <w:rPr>
          <w:rFonts w:hint="eastAsia" w:eastAsia="仿宋_GB2312"/>
          <w:color w:val="000000" w:themeColor="text1"/>
          <w:sz w:val="28"/>
          <w:szCs w:val="28"/>
          <w14:textFill>
            <w14:solidFill>
              <w14:schemeClr w14:val="tx1"/>
            </w14:solidFill>
          </w14:textFill>
        </w:rPr>
        <w:t>，拟修改采用</w:t>
      </w:r>
      <w:r>
        <w:rPr>
          <w:rFonts w:eastAsia="仿宋_GB2312"/>
          <w:color w:val="000000" w:themeColor="text1"/>
          <w:sz w:val="28"/>
          <w:szCs w:val="28"/>
          <w14:textFill>
            <w14:solidFill>
              <w14:schemeClr w14:val="tx1"/>
            </w14:solidFill>
          </w14:textFill>
        </w:rPr>
        <w:t>ISO 123:2001</w:t>
      </w:r>
      <w:r>
        <w:rPr>
          <w:rFonts w:hint="eastAsia" w:eastAsia="仿宋_GB2312"/>
          <w:color w:val="000000" w:themeColor="text1"/>
          <w:sz w:val="28"/>
          <w:szCs w:val="28"/>
          <w14:textFill>
            <w14:solidFill>
              <w14:schemeClr w14:val="tx1"/>
            </w14:solidFill>
          </w14:textFill>
        </w:rPr>
        <w:t>整合修订</w:t>
      </w:r>
      <w:r>
        <w:rPr>
          <w:rFonts w:eastAsia="仿宋_GB2312"/>
          <w:color w:val="000000" w:themeColor="text1"/>
          <w:sz w:val="28"/>
          <w:szCs w:val="28"/>
          <w14:textFill>
            <w14:solidFill>
              <w14:schemeClr w14:val="tx1"/>
            </w14:solidFill>
          </w14:textFill>
        </w:rPr>
        <w:t xml:space="preserve">GB/T </w:t>
      </w:r>
      <w:r>
        <w:rPr>
          <w:rFonts w:hint="eastAsia" w:eastAsia="仿宋_GB2312"/>
          <w:color w:val="000000" w:themeColor="text1"/>
          <w:sz w:val="28"/>
          <w:szCs w:val="28"/>
          <w14:textFill>
            <w14:solidFill>
              <w14:schemeClr w14:val="tx1"/>
            </w14:solidFill>
          </w14:textFill>
        </w:rPr>
        <w:t>8290—2021与GB/T</w:t>
      </w:r>
      <w:r>
        <w:rPr>
          <w:rFonts w:eastAsia="仿宋_GB2312"/>
          <w:color w:val="000000" w:themeColor="text1"/>
          <w:sz w:val="28"/>
          <w:szCs w:val="28"/>
          <w14:textFill>
            <w14:solidFill>
              <w14:schemeClr w14:val="tx1"/>
            </w14:solidFill>
          </w14:textFill>
        </w:rPr>
        <w:t xml:space="preserve"> 24130—2009</w:t>
      </w:r>
      <w:r>
        <w:rPr>
          <w:rFonts w:hint="eastAsia" w:eastAsia="仿宋_GB2312"/>
          <w:color w:val="000000" w:themeColor="text1"/>
          <w:sz w:val="28"/>
          <w:szCs w:val="28"/>
          <w14:textFill>
            <w14:solidFill>
              <w14:schemeClr w14:val="tx1"/>
            </w14:solidFill>
          </w14:textFill>
        </w:rPr>
        <w:t>，项目周期为16个月，应报批日期为2026年4月3日。本项目</w:t>
      </w:r>
      <w:r>
        <w:rPr>
          <w:rFonts w:hint="eastAsia" w:eastAsia="仿宋_GB2312"/>
          <w:color w:val="000000" w:themeColor="text1"/>
          <w:sz w:val="28"/>
          <w:szCs w:val="28"/>
          <w14:textFill>
            <w14:solidFill>
              <w14:schemeClr w14:val="tx1"/>
            </w14:solidFill>
          </w14:textFill>
        </w:rPr>
        <w:t>由中国石油和化学工业联合会主管，由全国橡胶与橡胶制品标准化技术委员会归口</w:t>
      </w:r>
      <w:r>
        <w:rPr>
          <w:rFonts w:hint="eastAsia" w:eastAsia="仿宋_GB2312"/>
          <w:color w:val="000000" w:themeColor="text1"/>
          <w:sz w:val="28"/>
          <w:szCs w:val="28"/>
          <w14:textFill>
            <w14:solidFill>
              <w14:schemeClr w14:val="tx1"/>
            </w14:solidFill>
          </w14:textFill>
        </w:rPr>
        <w:t>（SAC/TC</w:t>
      </w:r>
      <w:r>
        <w:rPr>
          <w:rFonts w:eastAsia="仿宋_GB2312"/>
          <w:color w:val="000000" w:themeColor="text1"/>
          <w:sz w:val="28"/>
          <w:szCs w:val="28"/>
          <w14:textFill>
            <w14:solidFill>
              <w14:schemeClr w14:val="tx1"/>
            </w14:solidFill>
          </w14:textFill>
        </w:rPr>
        <w:t xml:space="preserve"> </w:t>
      </w:r>
      <w:r>
        <w:rPr>
          <w:rFonts w:hint="eastAsia" w:eastAsia="仿宋_GB2312"/>
          <w:color w:val="000000" w:themeColor="text1"/>
          <w:sz w:val="28"/>
          <w:szCs w:val="28"/>
          <w14:textFill>
            <w14:solidFill>
              <w14:schemeClr w14:val="tx1"/>
            </w14:solidFill>
          </w14:textFill>
        </w:rPr>
        <w:t>35）（全国橡标委）归口，全国橡标委天然橡胶分会执行，</w:t>
      </w:r>
      <w:r>
        <w:rPr>
          <w:rFonts w:hint="eastAsia" w:eastAsia="仿宋_GB2312"/>
          <w:color w:val="000000" w:themeColor="text1"/>
          <w:sz w:val="28"/>
          <w:szCs w:val="28"/>
          <w14:textFill>
            <w14:solidFill>
              <w14:schemeClr w14:val="tx1"/>
            </w14:solidFill>
          </w14:textFill>
        </w:rPr>
        <w:t>由中国热带农业科学院农产品加工研究所负责起草，参与单位有中国石油天然气股份有限公司石油化工研究院。</w:t>
      </w:r>
    </w:p>
    <w:p w14:paraId="2D0B6983">
      <w:pPr>
        <w:adjustRightInd w:val="0"/>
        <w:snapToGrid w:val="0"/>
        <w:spacing w:line="560" w:lineRule="exact"/>
        <w:jc w:val="left"/>
        <w:rPr>
          <w:rFonts w:ascii="黑体" w:hAnsi="黑体" w:eastAsia="黑体" w:cs="黑体"/>
          <w:bCs/>
          <w:color w:val="000000" w:themeColor="text1"/>
          <w:kern w:val="44"/>
          <w:sz w:val="28"/>
          <w:szCs w:val="28"/>
          <w14:textFill>
            <w14:solidFill>
              <w14:schemeClr w14:val="tx1"/>
            </w14:solidFill>
          </w14:textFill>
        </w:rPr>
      </w:pPr>
      <w:r>
        <w:rPr>
          <w:rFonts w:ascii="黑体" w:hAnsi="黑体" w:eastAsia="黑体" w:cs="黑体"/>
          <w:bCs/>
          <w:color w:val="000000" w:themeColor="text1"/>
          <w:kern w:val="44"/>
          <w:sz w:val="28"/>
          <w:szCs w:val="28"/>
          <w14:textFill>
            <w14:solidFill>
              <w14:schemeClr w14:val="tx1"/>
            </w14:solidFill>
          </w14:textFill>
        </w:rPr>
        <w:t xml:space="preserve">1.2 </w:t>
      </w:r>
      <w:r>
        <w:rPr>
          <w:rFonts w:hint="eastAsia" w:ascii="黑体" w:hAnsi="黑体" w:eastAsia="黑体" w:cs="黑体"/>
          <w:bCs/>
          <w:color w:val="000000" w:themeColor="text1"/>
          <w:kern w:val="44"/>
          <w:sz w:val="28"/>
          <w:szCs w:val="28"/>
          <w14:textFill>
            <w14:solidFill>
              <w14:schemeClr w14:val="tx1"/>
            </w14:solidFill>
          </w14:textFill>
        </w:rPr>
        <w:t>修订背景</w:t>
      </w:r>
    </w:p>
    <w:p w14:paraId="2CD06D33">
      <w:pPr>
        <w:adjustRightInd w:val="0"/>
        <w:snapToGrid w:val="0"/>
        <w:spacing w:line="560" w:lineRule="exact"/>
        <w:ind w:firstLine="560" w:firstLineChars="20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橡胶胶乳（简称胶乳）包括天然胶乳和合成胶乳，除了可以直接用于生产气球、海绵、避孕套、手套、胶丝、胶管等产品外，还可用于浸渍帘布、地毯、造纸、纺织、无纺布、胶粘剂、涂料、密封胶等产品。现已广泛应用于国防、气象、医疗卫生、交通运输、工业、农业、建筑和食品等领域。</w:t>
      </w:r>
    </w:p>
    <w:p w14:paraId="01F823A9">
      <w:pPr>
        <w:adjustRightInd w:val="0"/>
        <w:snapToGrid w:val="0"/>
        <w:spacing w:line="560" w:lineRule="exact"/>
        <w:ind w:firstLine="560" w:firstLineChars="20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胶乳样品的代表性对胶乳质量检验结果至关重要。因此，胶乳取样方法标准是天然橡胶标准体系和合成橡胶标准体系中的重要基础标准。严格规范胶乳的取样方法，对其质量监管和国际贸易都有非常积极的意义。</w:t>
      </w:r>
    </w:p>
    <w:p w14:paraId="4CC1CE0B">
      <w:pPr>
        <w:adjustRightInd w:val="0"/>
        <w:snapToGrid w:val="0"/>
        <w:spacing w:line="560" w:lineRule="exact"/>
        <w:ind w:firstLine="560" w:firstLineChars="20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随着技术的不断发展进步，胶乳的运输包装由传统的桶装、罐车装运，发展出了一种柔性包装形式（集装箱液袋），以适应集装化包装运输的需要。与传统包装相比，这种胶乳包装新方式具有显著的经济优势，已在国内外广泛使用。GB/T</w:t>
      </w:r>
      <w:r>
        <w:rPr>
          <w:rFonts w:eastAsia="仿宋_GB2312"/>
          <w:color w:val="000000" w:themeColor="text1"/>
          <w:sz w:val="28"/>
          <w:szCs w:val="28"/>
          <w14:textFill>
            <w14:solidFill>
              <w14:schemeClr w14:val="tx1"/>
            </w14:solidFill>
          </w14:textFill>
        </w:rPr>
        <w:t xml:space="preserve"> </w:t>
      </w:r>
      <w:r>
        <w:rPr>
          <w:rFonts w:hint="eastAsia" w:eastAsia="仿宋_GB2312"/>
          <w:color w:val="000000" w:themeColor="text1"/>
          <w:sz w:val="28"/>
          <w:szCs w:val="28"/>
          <w14:textFill>
            <w14:solidFill>
              <w14:schemeClr w14:val="tx1"/>
            </w14:solidFill>
          </w14:textFill>
        </w:rPr>
        <w:t>24130—2009《柔性包装胶乳</w:t>
      </w:r>
      <w:r>
        <w:rPr>
          <w:rFonts w:eastAsia="仿宋_GB2312"/>
          <w:color w:val="000000" w:themeColor="text1"/>
          <w:sz w:val="28"/>
          <w:szCs w:val="28"/>
          <w14:textFill>
            <w14:solidFill>
              <w14:schemeClr w14:val="tx1"/>
            </w14:solidFill>
          </w14:textFill>
        </w:rPr>
        <w:t xml:space="preserve"> </w:t>
      </w:r>
      <w:r>
        <w:rPr>
          <w:rFonts w:hint="eastAsia" w:eastAsia="仿宋_GB2312"/>
          <w:color w:val="000000" w:themeColor="text1"/>
          <w:sz w:val="28"/>
          <w:szCs w:val="28"/>
          <w14:textFill>
            <w14:solidFill>
              <w14:schemeClr w14:val="tx1"/>
            </w14:solidFill>
          </w14:textFill>
        </w:rPr>
        <w:t>取样》规定了柔性包装胶乳取样的方法，适用于集装箱液袋等柔性包装的天然胶乳、合成胶乳的取样。</w:t>
      </w:r>
    </w:p>
    <w:p w14:paraId="00A5FEFC">
      <w:pPr>
        <w:adjustRightInd w:val="0"/>
        <w:snapToGrid w:val="0"/>
        <w:spacing w:line="560" w:lineRule="exact"/>
        <w:ind w:firstLine="560" w:firstLineChars="200"/>
        <w:rPr>
          <w:rFonts w:eastAsia="仿宋_GB2312"/>
          <w:color w:val="000000" w:themeColor="text1"/>
          <w:sz w:val="28"/>
          <w:szCs w:val="28"/>
          <w14:textFill>
            <w14:solidFill>
              <w14:schemeClr w14:val="tx1"/>
            </w14:solidFill>
          </w14:textFill>
        </w:rPr>
      </w:pPr>
      <w:r>
        <w:rPr>
          <w:rFonts w:eastAsia="仿宋_GB2312"/>
          <w:color w:val="000000" w:themeColor="text1"/>
          <w:sz w:val="28"/>
          <w:szCs w:val="28"/>
          <w14:textFill>
            <w14:solidFill>
              <w14:schemeClr w14:val="tx1"/>
            </w14:solidFill>
          </w14:textFill>
        </w:rPr>
        <w:t xml:space="preserve">GB/T </w:t>
      </w:r>
      <w:r>
        <w:rPr>
          <w:rFonts w:hint="eastAsia" w:eastAsia="仿宋_GB2312"/>
          <w:color w:val="000000" w:themeColor="text1"/>
          <w:sz w:val="28"/>
          <w:szCs w:val="28"/>
          <w14:textFill>
            <w14:solidFill>
              <w14:schemeClr w14:val="tx1"/>
            </w14:solidFill>
          </w14:textFill>
        </w:rPr>
        <w:t>8290—2021与GB/T</w:t>
      </w:r>
      <w:r>
        <w:rPr>
          <w:rFonts w:eastAsia="仿宋_GB2312"/>
          <w:color w:val="000000" w:themeColor="text1"/>
          <w:sz w:val="28"/>
          <w:szCs w:val="28"/>
          <w14:textFill>
            <w14:solidFill>
              <w14:schemeClr w14:val="tx1"/>
            </w14:solidFill>
          </w14:textFill>
        </w:rPr>
        <w:t xml:space="preserve"> </w:t>
      </w:r>
      <w:r>
        <w:rPr>
          <w:rFonts w:hint="eastAsia" w:eastAsia="仿宋_GB2312"/>
          <w:color w:val="000000" w:themeColor="text1"/>
          <w:sz w:val="28"/>
          <w:szCs w:val="28"/>
          <w14:textFill>
            <w14:solidFill>
              <w14:schemeClr w14:val="tx1"/>
            </w14:solidFill>
          </w14:textFill>
        </w:rPr>
        <w:t>24130—2009的标准化对象同为天然胶乳和合成胶乳的取样方法，因此应整合。根据2021年国家标准体系优化试点工作成果，整合后的国家标准将以GB/T</w:t>
      </w:r>
      <w:r>
        <w:rPr>
          <w:rFonts w:eastAsia="仿宋_GB2312"/>
          <w:color w:val="000000" w:themeColor="text1"/>
          <w:sz w:val="28"/>
          <w:szCs w:val="28"/>
          <w14:textFill>
            <w14:solidFill>
              <w14:schemeClr w14:val="tx1"/>
            </w14:solidFill>
          </w14:textFill>
        </w:rPr>
        <w:t xml:space="preserve"> </w:t>
      </w:r>
      <w:r>
        <w:rPr>
          <w:rFonts w:hint="eastAsia" w:eastAsia="仿宋_GB2312"/>
          <w:color w:val="000000" w:themeColor="text1"/>
          <w:sz w:val="28"/>
          <w:szCs w:val="28"/>
          <w14:textFill>
            <w14:solidFill>
              <w14:schemeClr w14:val="tx1"/>
            </w14:solidFill>
          </w14:textFill>
        </w:rPr>
        <w:t>8290—2021为主，纳入GB/T</w:t>
      </w:r>
      <w:r>
        <w:rPr>
          <w:rFonts w:eastAsia="仿宋_GB2312"/>
          <w:color w:val="000000" w:themeColor="text1"/>
          <w:sz w:val="28"/>
          <w:szCs w:val="28"/>
          <w14:textFill>
            <w14:solidFill>
              <w14:schemeClr w14:val="tx1"/>
            </w14:solidFill>
          </w14:textFill>
        </w:rPr>
        <w:t xml:space="preserve"> </w:t>
      </w:r>
      <w:r>
        <w:rPr>
          <w:rFonts w:hint="eastAsia" w:eastAsia="仿宋_GB2312"/>
          <w:color w:val="000000" w:themeColor="text1"/>
          <w:sz w:val="28"/>
          <w:szCs w:val="28"/>
          <w14:textFill>
            <w14:solidFill>
              <w14:schemeClr w14:val="tx1"/>
            </w14:solidFill>
          </w14:textFill>
        </w:rPr>
        <w:t>24130—2009的技术内容。本次整合修订将有利于橡胶与橡胶制品推荐性标准体系的优化，对胶乳包装新技术的推广应用起到积极作用，有利于对国产和进口胶乳的质量控制，并为我国胶乳生产和国际贸易提供技术保障。</w:t>
      </w:r>
    </w:p>
    <w:p w14:paraId="47D4E832">
      <w:pPr>
        <w:adjustRightInd w:val="0"/>
        <w:snapToGrid w:val="0"/>
        <w:spacing w:line="560" w:lineRule="exact"/>
        <w:jc w:val="left"/>
        <w:rPr>
          <w:rFonts w:ascii="黑体" w:hAnsi="黑体" w:eastAsia="黑体" w:cs="黑体"/>
          <w:bCs/>
          <w:color w:val="000000" w:themeColor="text1"/>
          <w:kern w:val="44"/>
          <w:sz w:val="28"/>
          <w:szCs w:val="28"/>
          <w14:textFill>
            <w14:solidFill>
              <w14:schemeClr w14:val="tx1"/>
            </w14:solidFill>
          </w14:textFill>
        </w:rPr>
      </w:pPr>
      <w:r>
        <w:rPr>
          <w:rFonts w:ascii="黑体" w:hAnsi="黑体" w:eastAsia="黑体" w:cs="黑体"/>
          <w:bCs/>
          <w:color w:val="000000" w:themeColor="text1"/>
          <w:kern w:val="44"/>
          <w:sz w:val="28"/>
          <w:szCs w:val="28"/>
          <w14:textFill>
            <w14:solidFill>
              <w14:schemeClr w14:val="tx1"/>
            </w14:solidFill>
          </w14:textFill>
        </w:rPr>
        <w:t xml:space="preserve">1.3 </w:t>
      </w:r>
      <w:r>
        <w:rPr>
          <w:rFonts w:hint="eastAsia" w:ascii="黑体" w:hAnsi="黑体" w:eastAsia="黑体" w:cs="黑体"/>
          <w:bCs/>
          <w:color w:val="000000" w:themeColor="text1"/>
          <w:kern w:val="44"/>
          <w:sz w:val="28"/>
          <w:szCs w:val="28"/>
          <w14:textFill>
            <w14:solidFill>
              <w14:schemeClr w14:val="tx1"/>
            </w14:solidFill>
          </w14:textFill>
        </w:rPr>
        <w:t>起草过程</w:t>
      </w:r>
    </w:p>
    <w:p w14:paraId="1EFC912E">
      <w:pPr>
        <w:adjustRightInd w:val="0"/>
        <w:snapToGrid w:val="0"/>
        <w:spacing w:line="560" w:lineRule="exact"/>
        <w:ind w:firstLine="560" w:firstLineChars="200"/>
        <w:rPr>
          <w:rFonts w:eastAsia="仿宋_GB2312"/>
          <w:color w:val="000000" w:themeColor="text1"/>
          <w:sz w:val="28"/>
          <w:szCs w:val="28"/>
          <w14:textFill>
            <w14:solidFill>
              <w14:schemeClr w14:val="tx1"/>
            </w14:solidFill>
          </w14:textFill>
        </w:rPr>
      </w:pPr>
      <w:r>
        <w:rPr>
          <w:rFonts w:eastAsia="仿宋_GB2312"/>
          <w:color w:val="000000" w:themeColor="text1"/>
          <w:sz w:val="28"/>
          <w:szCs w:val="28"/>
          <w14:textFill>
            <w14:solidFill>
              <w14:schemeClr w14:val="tx1"/>
            </w14:solidFill>
          </w14:textFill>
        </w:rPr>
        <w:t>2024</w:t>
      </w:r>
      <w:r>
        <w:rPr>
          <w:rFonts w:hint="eastAsia" w:eastAsia="仿宋_GB2312"/>
          <w:color w:val="000000" w:themeColor="text1"/>
          <w:sz w:val="28"/>
          <w:szCs w:val="28"/>
          <w14:textFill>
            <w14:solidFill>
              <w14:schemeClr w14:val="tx1"/>
            </w14:solidFill>
          </w14:textFill>
        </w:rPr>
        <w:t>年12月，在国家标准修订项目计划下达后，成立了标准修订工作组，拟定工作大纲，进行任务分工。根据</w:t>
      </w:r>
      <w:r>
        <w:rPr>
          <w:rFonts w:eastAsia="仿宋_GB2312"/>
          <w:color w:val="000000" w:themeColor="text1"/>
          <w:sz w:val="28"/>
          <w:szCs w:val="28"/>
          <w14:textFill>
            <w14:solidFill>
              <w14:schemeClr w14:val="tx1"/>
            </w14:solidFill>
          </w14:textFill>
        </w:rPr>
        <w:t xml:space="preserve">ISO </w:t>
      </w:r>
      <w:r>
        <w:rPr>
          <w:rFonts w:hint="eastAsia" w:eastAsia="仿宋_GB2312"/>
          <w:color w:val="000000" w:themeColor="text1"/>
          <w:sz w:val="28"/>
          <w:szCs w:val="28"/>
          <w14:textFill>
            <w14:solidFill>
              <w14:schemeClr w14:val="tx1"/>
            </w14:solidFill>
          </w14:textFill>
        </w:rPr>
        <w:t>123:2001的技术要求，确定了标准所需的技术内容，开展了初步试验，并最终确定试验方案，使用</w:t>
      </w:r>
      <w:r>
        <w:rPr>
          <w:rFonts w:eastAsia="仿宋_GB2312"/>
          <w:color w:val="000000" w:themeColor="text1"/>
          <w:sz w:val="28"/>
          <w:szCs w:val="28"/>
          <w14:textFill>
            <w14:solidFill>
              <w14:schemeClr w14:val="tx1"/>
            </w14:solidFill>
          </w14:textFill>
        </w:rPr>
        <w:t>GB/T 8298</w:t>
      </w:r>
      <w:r>
        <w:rPr>
          <w:rFonts w:hint="eastAsia" w:eastAsia="仿宋_GB2312"/>
          <w:color w:val="000000" w:themeColor="text1"/>
          <w:sz w:val="28"/>
          <w:szCs w:val="28"/>
          <w14:textFill>
            <w14:solidFill>
              <w14:schemeClr w14:val="tx1"/>
            </w14:solidFill>
          </w14:textFill>
        </w:rPr>
        <w:t>进行胶乳总固含量的测定，在上述工作的基础上，经过综合分析，确定了《胶乳 取样》征求意见稿。</w:t>
      </w:r>
    </w:p>
    <w:p w14:paraId="0F9AE313">
      <w:pPr>
        <w:adjustRightInd w:val="0"/>
        <w:snapToGrid w:val="0"/>
        <w:spacing w:line="560" w:lineRule="exact"/>
        <w:rPr>
          <w:rFonts w:ascii="黑体" w:hAnsi="黑体" w:eastAsia="黑体" w:cs="黑体"/>
          <w:bCs/>
          <w:color w:val="000000" w:themeColor="text1"/>
          <w:kern w:val="44"/>
          <w:sz w:val="28"/>
          <w:szCs w:val="28"/>
          <w14:textFill>
            <w14:solidFill>
              <w14:schemeClr w14:val="tx1"/>
            </w14:solidFill>
          </w14:textFill>
        </w:rPr>
      </w:pPr>
      <w:r>
        <w:rPr>
          <w:rFonts w:ascii="黑体" w:hAnsi="黑体" w:eastAsia="黑体" w:cs="黑体"/>
          <w:bCs/>
          <w:color w:val="000000" w:themeColor="text1"/>
          <w:kern w:val="44"/>
          <w:sz w:val="28"/>
          <w:szCs w:val="28"/>
          <w14:textFill>
            <w14:solidFill>
              <w14:schemeClr w14:val="tx1"/>
            </w14:solidFill>
          </w14:textFill>
        </w:rPr>
        <w:t xml:space="preserve">2 </w:t>
      </w:r>
      <w:r>
        <w:rPr>
          <w:rFonts w:hint="eastAsia" w:ascii="黑体" w:hAnsi="黑体" w:eastAsia="黑体" w:cs="黑体"/>
          <w:bCs/>
          <w:color w:val="000000" w:themeColor="text1"/>
          <w:kern w:val="44"/>
          <w:sz w:val="28"/>
          <w:szCs w:val="28"/>
          <w14:textFill>
            <w14:solidFill>
              <w14:schemeClr w14:val="tx1"/>
            </w14:solidFill>
          </w14:textFill>
        </w:rPr>
        <w:t>国家标准编制原则、主要内容及其确定依据</w:t>
      </w:r>
    </w:p>
    <w:p w14:paraId="4CE40C8C">
      <w:pPr>
        <w:adjustRightInd w:val="0"/>
        <w:snapToGrid w:val="0"/>
        <w:spacing w:line="560" w:lineRule="exact"/>
        <w:rPr>
          <w:rFonts w:ascii="黑体" w:hAnsi="黑体" w:eastAsia="黑体" w:cs="黑体"/>
          <w:bCs/>
          <w:color w:val="000000" w:themeColor="text1"/>
          <w:kern w:val="44"/>
          <w:sz w:val="28"/>
          <w:szCs w:val="28"/>
          <w14:textFill>
            <w14:solidFill>
              <w14:schemeClr w14:val="tx1"/>
            </w14:solidFill>
          </w14:textFill>
        </w:rPr>
      </w:pPr>
      <w:r>
        <w:rPr>
          <w:rFonts w:ascii="黑体" w:hAnsi="黑体" w:eastAsia="黑体" w:cs="黑体"/>
          <w:bCs/>
          <w:color w:val="000000" w:themeColor="text1"/>
          <w:kern w:val="44"/>
          <w:sz w:val="28"/>
          <w:szCs w:val="28"/>
          <w14:textFill>
            <w14:solidFill>
              <w14:schemeClr w14:val="tx1"/>
            </w14:solidFill>
          </w14:textFill>
        </w:rPr>
        <w:t xml:space="preserve">2.1 </w:t>
      </w:r>
      <w:r>
        <w:rPr>
          <w:rFonts w:hint="eastAsia" w:ascii="黑体" w:hAnsi="黑体" w:eastAsia="黑体" w:cs="黑体"/>
          <w:bCs/>
          <w:color w:val="000000" w:themeColor="text1"/>
          <w:kern w:val="44"/>
          <w:sz w:val="28"/>
          <w:szCs w:val="28"/>
          <w14:textFill>
            <w14:solidFill>
              <w14:schemeClr w14:val="tx1"/>
            </w14:solidFill>
          </w14:textFill>
        </w:rPr>
        <w:t>编制原则</w:t>
      </w:r>
    </w:p>
    <w:p w14:paraId="35A17E4D">
      <w:pPr>
        <w:widowControl/>
        <w:adjustRightInd w:val="0"/>
        <w:snapToGrid w:val="0"/>
        <w:spacing w:line="560" w:lineRule="exact"/>
        <w:rPr>
          <w:rFonts w:eastAsia="仿宋_GB2312"/>
          <w:color w:val="000000" w:themeColor="text1"/>
          <w:sz w:val="28"/>
          <w:szCs w:val="28"/>
          <w14:textFill>
            <w14:solidFill>
              <w14:schemeClr w14:val="tx1"/>
            </w14:solidFill>
          </w14:textFill>
        </w:rPr>
      </w:pPr>
      <w:r>
        <w:rPr>
          <w:rFonts w:ascii="黑体" w:hAnsi="黑体" w:eastAsia="黑体"/>
          <w:color w:val="000000" w:themeColor="text1"/>
          <w:sz w:val="28"/>
          <w:szCs w:val="28"/>
          <w14:textFill>
            <w14:solidFill>
              <w14:schemeClr w14:val="tx1"/>
            </w14:solidFill>
          </w14:textFill>
        </w:rPr>
        <w:t>2.1.1</w:t>
      </w:r>
      <w:r>
        <w:rPr>
          <w:rFonts w:hint="eastAsia" w:eastAsia="仿宋_GB2312"/>
          <w:color w:val="000000" w:themeColor="text1"/>
          <w:sz w:val="28"/>
          <w:szCs w:val="28"/>
          <w14:textFill>
            <w14:solidFill>
              <w14:schemeClr w14:val="tx1"/>
            </w14:solidFill>
          </w14:textFill>
        </w:rPr>
        <w:t>按照GB/T</w:t>
      </w:r>
      <w:r>
        <w:rPr>
          <w:rFonts w:eastAsia="仿宋_GB2312"/>
          <w:color w:val="000000" w:themeColor="text1"/>
          <w:sz w:val="28"/>
          <w:szCs w:val="28"/>
          <w14:textFill>
            <w14:solidFill>
              <w14:schemeClr w14:val="tx1"/>
            </w14:solidFill>
          </w14:textFill>
        </w:rPr>
        <w:t xml:space="preserve"> </w:t>
      </w:r>
      <w:r>
        <w:rPr>
          <w:rFonts w:hint="eastAsia" w:eastAsia="仿宋_GB2312"/>
          <w:color w:val="000000" w:themeColor="text1"/>
          <w:sz w:val="28"/>
          <w:szCs w:val="28"/>
          <w14:textFill>
            <w14:solidFill>
              <w14:schemeClr w14:val="tx1"/>
            </w14:solidFill>
          </w14:textFill>
        </w:rPr>
        <w:t>1.1</w:t>
      </w:r>
      <w:r>
        <w:rPr>
          <w:rFonts w:hint="eastAsia" w:eastAsia="仿宋_GB2312"/>
          <w:color w:val="000000" w:themeColor="text1"/>
          <w:sz w:val="28"/>
          <w:szCs w:val="28"/>
          <w14:textFill>
            <w14:solidFill>
              <w14:schemeClr w14:val="tx1"/>
            </w14:solidFill>
          </w14:textFill>
        </w:rPr>
        <w:t>—</w:t>
      </w:r>
      <w:r>
        <w:rPr>
          <w:rFonts w:hint="eastAsia" w:eastAsia="仿宋_GB2312"/>
          <w:color w:val="000000" w:themeColor="text1"/>
          <w:sz w:val="28"/>
          <w:szCs w:val="28"/>
          <w14:textFill>
            <w14:solidFill>
              <w14:schemeClr w14:val="tx1"/>
            </w14:solidFill>
          </w14:textFill>
        </w:rPr>
        <w:t>2020《标准化工作导则</w:t>
      </w:r>
      <w:r>
        <w:rPr>
          <w:rFonts w:eastAsia="仿宋_GB2312"/>
          <w:color w:val="000000" w:themeColor="text1"/>
          <w:sz w:val="28"/>
          <w:szCs w:val="28"/>
          <w14:textFill>
            <w14:solidFill>
              <w14:schemeClr w14:val="tx1"/>
            </w14:solidFill>
          </w14:textFill>
        </w:rPr>
        <w:t xml:space="preserve"> </w:t>
      </w:r>
      <w:r>
        <w:rPr>
          <w:rFonts w:hint="eastAsia" w:eastAsia="仿宋_GB2312"/>
          <w:color w:val="000000" w:themeColor="text1"/>
          <w:sz w:val="28"/>
          <w:szCs w:val="28"/>
          <w14:textFill>
            <w14:solidFill>
              <w14:schemeClr w14:val="tx1"/>
            </w14:solidFill>
          </w14:textFill>
        </w:rPr>
        <w:t>第1部分：标准的结构和编写规则》</w:t>
      </w:r>
      <w:r>
        <w:rPr>
          <w:rFonts w:hint="eastAsia" w:eastAsia="仿宋_GB2312"/>
          <w:color w:val="000000" w:themeColor="text1"/>
          <w:sz w:val="28"/>
          <w:szCs w:val="28"/>
          <w14:textFill>
            <w14:solidFill>
              <w14:schemeClr w14:val="tx1"/>
            </w14:solidFill>
          </w14:textFill>
        </w:rPr>
        <w:t>、</w:t>
      </w:r>
      <w:r>
        <w:rPr>
          <w:rFonts w:eastAsia="仿宋_GB2312"/>
          <w:color w:val="000000" w:themeColor="text1"/>
          <w:sz w:val="28"/>
          <w:szCs w:val="28"/>
          <w14:textFill>
            <w14:solidFill>
              <w14:schemeClr w14:val="tx1"/>
            </w14:solidFill>
          </w14:textFill>
        </w:rPr>
        <w:t xml:space="preserve">GB/T </w:t>
      </w:r>
      <w:r>
        <w:rPr>
          <w:rFonts w:hint="eastAsia" w:eastAsia="仿宋_GB2312"/>
          <w:color w:val="000000" w:themeColor="text1"/>
          <w:sz w:val="28"/>
          <w:szCs w:val="28"/>
          <w14:textFill>
            <w14:solidFill>
              <w14:schemeClr w14:val="tx1"/>
            </w14:solidFill>
          </w14:textFill>
        </w:rPr>
        <w:t>1.2</w:t>
      </w:r>
      <w:r>
        <w:rPr>
          <w:rFonts w:hint="eastAsia" w:eastAsia="仿宋_GB2312"/>
          <w:color w:val="000000" w:themeColor="text1"/>
          <w:sz w:val="28"/>
          <w:szCs w:val="28"/>
          <w14:textFill>
            <w14:solidFill>
              <w14:schemeClr w14:val="tx1"/>
            </w14:solidFill>
          </w14:textFill>
        </w:rPr>
        <w:t>—</w:t>
      </w:r>
      <w:r>
        <w:rPr>
          <w:rFonts w:hint="eastAsia" w:eastAsia="仿宋_GB2312"/>
          <w:color w:val="000000" w:themeColor="text1"/>
          <w:sz w:val="28"/>
          <w:szCs w:val="28"/>
          <w14:textFill>
            <w14:solidFill>
              <w14:schemeClr w14:val="tx1"/>
            </w14:solidFill>
          </w14:textFill>
        </w:rPr>
        <w:t>2020《标准化工作</w:t>
      </w:r>
      <w:r>
        <w:rPr>
          <w:rFonts w:hint="eastAsia" w:eastAsia="仿宋_GB2312"/>
          <w:color w:val="000000" w:themeColor="text1"/>
          <w:sz w:val="28"/>
          <w:szCs w:val="28"/>
          <w:highlight w:val="none"/>
          <w14:textFill>
            <w14:solidFill>
              <w14:schemeClr w14:val="tx1"/>
            </w14:solidFill>
          </w14:textFill>
        </w:rPr>
        <w:t>导则</w:t>
      </w:r>
      <w:r>
        <w:rPr>
          <w:rFonts w:hint="eastAsia" w:eastAsia="仿宋_GB2312"/>
          <w:color w:val="000000" w:themeColor="text1"/>
          <w:sz w:val="28"/>
          <w:szCs w:val="28"/>
          <w:highlight w:val="none"/>
          <w:lang w:val="en-US" w:eastAsia="zh-CN"/>
          <w14:textFill>
            <w14:solidFill>
              <w14:schemeClr w14:val="tx1"/>
            </w14:solidFill>
          </w14:textFill>
        </w:rPr>
        <w:t xml:space="preserve"> </w:t>
      </w:r>
      <w:r>
        <w:rPr>
          <w:rFonts w:hint="eastAsia" w:eastAsia="仿宋_GB2312"/>
          <w:color w:val="000000" w:themeColor="text1"/>
          <w:sz w:val="28"/>
          <w:szCs w:val="28"/>
          <w:highlight w:val="none"/>
          <w14:textFill>
            <w14:solidFill>
              <w14:schemeClr w14:val="tx1"/>
            </w14:solidFill>
          </w14:textFill>
        </w:rPr>
        <w:t>第2部分：</w:t>
      </w:r>
      <w:r>
        <w:rPr>
          <w:rFonts w:hint="eastAsia" w:eastAsia="仿宋_GB2312"/>
          <w:color w:val="000000" w:themeColor="text1"/>
          <w:sz w:val="28"/>
          <w:szCs w:val="28"/>
          <w14:textFill>
            <w14:solidFill>
              <w14:schemeClr w14:val="tx1"/>
            </w14:solidFill>
          </w14:textFill>
        </w:rPr>
        <w:t>以</w:t>
      </w:r>
      <w:r>
        <w:rPr>
          <w:rFonts w:eastAsia="仿宋_GB2312"/>
          <w:color w:val="000000" w:themeColor="text1"/>
          <w:sz w:val="28"/>
          <w:szCs w:val="28"/>
          <w14:textFill>
            <w14:solidFill>
              <w14:schemeClr w14:val="tx1"/>
            </w14:solidFill>
          </w14:textFill>
        </w:rPr>
        <w:t xml:space="preserve"> ISO/IEC </w:t>
      </w:r>
      <w:r>
        <w:rPr>
          <w:rFonts w:hint="eastAsia" w:eastAsia="仿宋_GB2312"/>
          <w:color w:val="000000" w:themeColor="text1"/>
          <w:sz w:val="28"/>
          <w:szCs w:val="28"/>
          <w14:textFill>
            <w14:solidFill>
              <w14:schemeClr w14:val="tx1"/>
            </w14:solidFill>
          </w14:textFill>
        </w:rPr>
        <w:t>标准化文件为基础的标准化文件起草规则》</w:t>
      </w:r>
      <w:r>
        <w:rPr>
          <w:rFonts w:hint="eastAsia" w:eastAsia="仿宋_GB2312"/>
          <w:color w:val="000000" w:themeColor="text1"/>
          <w:sz w:val="28"/>
          <w:szCs w:val="28"/>
          <w14:textFill>
            <w14:solidFill>
              <w14:schemeClr w14:val="tx1"/>
            </w14:solidFill>
          </w14:textFill>
        </w:rPr>
        <w:t>和GB/T</w:t>
      </w:r>
      <w:r>
        <w:rPr>
          <w:rFonts w:eastAsia="仿宋_GB2312"/>
          <w:color w:val="000000" w:themeColor="text1"/>
          <w:sz w:val="28"/>
          <w:szCs w:val="28"/>
          <w14:textFill>
            <w14:solidFill>
              <w14:schemeClr w14:val="tx1"/>
            </w14:solidFill>
          </w14:textFill>
        </w:rPr>
        <w:t xml:space="preserve"> </w:t>
      </w:r>
      <w:r>
        <w:rPr>
          <w:rFonts w:hint="eastAsia" w:eastAsia="仿宋_GB2312"/>
          <w:color w:val="000000" w:themeColor="text1"/>
          <w:sz w:val="28"/>
          <w:szCs w:val="28"/>
          <w14:textFill>
            <w14:solidFill>
              <w14:schemeClr w14:val="tx1"/>
            </w14:solidFill>
          </w14:textFill>
        </w:rPr>
        <w:t>20001.4—2015《标准编写规则</w:t>
      </w:r>
      <w:r>
        <w:rPr>
          <w:rFonts w:eastAsia="仿宋_GB2312"/>
          <w:color w:val="000000" w:themeColor="text1"/>
          <w:sz w:val="28"/>
          <w:szCs w:val="28"/>
          <w14:textFill>
            <w14:solidFill>
              <w14:schemeClr w14:val="tx1"/>
            </w14:solidFill>
          </w14:textFill>
        </w:rPr>
        <w:t xml:space="preserve"> </w:t>
      </w:r>
      <w:r>
        <w:rPr>
          <w:rFonts w:hint="eastAsia" w:eastAsia="仿宋_GB2312"/>
          <w:color w:val="000000" w:themeColor="text1"/>
          <w:sz w:val="28"/>
          <w:szCs w:val="28"/>
          <w14:textFill>
            <w14:solidFill>
              <w14:schemeClr w14:val="tx1"/>
            </w14:solidFill>
          </w14:textFill>
        </w:rPr>
        <w:t>第4部分：试验方法标准》</w:t>
      </w:r>
      <w:r>
        <w:rPr>
          <w:rFonts w:hint="eastAsia" w:eastAsia="仿宋_GB2312"/>
          <w:color w:val="000000" w:themeColor="text1"/>
          <w:sz w:val="28"/>
          <w:szCs w:val="28"/>
          <w14:textFill>
            <w14:solidFill>
              <w14:schemeClr w14:val="tx1"/>
            </w14:solidFill>
          </w14:textFill>
        </w:rPr>
        <w:t>的规定进行编制，使标准在结构、语言表述和编排格式上符合统一的要求。</w:t>
      </w:r>
    </w:p>
    <w:p w14:paraId="5D2D0915">
      <w:pPr>
        <w:widowControl/>
        <w:adjustRightInd w:val="0"/>
        <w:snapToGrid w:val="0"/>
        <w:spacing w:line="560" w:lineRule="exact"/>
        <w:rPr>
          <w:rFonts w:eastAsia="仿宋_GB2312"/>
          <w:color w:val="000000" w:themeColor="text1"/>
          <w:sz w:val="28"/>
          <w:szCs w:val="28"/>
          <w14:textFill>
            <w14:solidFill>
              <w14:schemeClr w14:val="tx1"/>
            </w14:solidFill>
          </w14:textFill>
        </w:rPr>
      </w:pPr>
      <w:r>
        <w:rPr>
          <w:rFonts w:ascii="黑体" w:hAnsi="黑体" w:eastAsia="黑体"/>
          <w:color w:val="000000" w:themeColor="text1"/>
          <w:sz w:val="28"/>
          <w:szCs w:val="28"/>
          <w14:textFill>
            <w14:solidFill>
              <w14:schemeClr w14:val="tx1"/>
            </w14:solidFill>
          </w14:textFill>
        </w:rPr>
        <w:t xml:space="preserve">2.1.2 </w:t>
      </w:r>
      <w:r>
        <w:rPr>
          <w:rFonts w:hint="eastAsia" w:eastAsia="仿宋_GB2312"/>
          <w:color w:val="000000" w:themeColor="text1"/>
          <w:sz w:val="28"/>
          <w:szCs w:val="28"/>
          <w14:textFill>
            <w14:solidFill>
              <w14:schemeClr w14:val="tx1"/>
            </w14:solidFill>
          </w14:textFill>
        </w:rPr>
        <w:t>根据我国胶乳取样的技术要求以及当前技术水平，遵循科学性、合理性、经济性和可操作性的原则，对现行标准的技术内容进行修订整合。</w:t>
      </w:r>
    </w:p>
    <w:p w14:paraId="4F8D956D">
      <w:pPr>
        <w:adjustRightInd w:val="0"/>
        <w:snapToGrid w:val="0"/>
        <w:spacing w:line="560" w:lineRule="exact"/>
        <w:rPr>
          <w:rFonts w:eastAsia="仿宋_GB2312"/>
          <w:color w:val="000000" w:themeColor="text1"/>
          <w:sz w:val="28"/>
          <w:szCs w:val="28"/>
          <w14:textFill>
            <w14:solidFill>
              <w14:schemeClr w14:val="tx1"/>
            </w14:solidFill>
          </w14:textFill>
        </w:rPr>
      </w:pPr>
      <w:r>
        <w:rPr>
          <w:rFonts w:ascii="黑体" w:hAnsi="黑体" w:eastAsia="黑体"/>
          <w:color w:val="000000" w:themeColor="text1"/>
          <w:sz w:val="28"/>
          <w:szCs w:val="28"/>
          <w14:textFill>
            <w14:solidFill>
              <w14:schemeClr w14:val="tx1"/>
            </w14:solidFill>
          </w14:textFill>
        </w:rPr>
        <w:t xml:space="preserve">2.1.3 </w:t>
      </w:r>
      <w:r>
        <w:rPr>
          <w:rFonts w:hint="eastAsia" w:eastAsia="仿宋_GB2312"/>
          <w:color w:val="000000" w:themeColor="text1"/>
          <w:sz w:val="28"/>
          <w:szCs w:val="28"/>
          <w14:textFill>
            <w14:solidFill>
              <w14:schemeClr w14:val="tx1"/>
            </w14:solidFill>
          </w14:textFill>
        </w:rPr>
        <w:t>在标准的名称、技术要求结构和内容、用语等方面与橡胶和橡胶制品标准体系（特别是天然橡胶系列标准）保持一致。</w:t>
      </w:r>
    </w:p>
    <w:p w14:paraId="69E7799B">
      <w:pPr>
        <w:adjustRightInd w:val="0"/>
        <w:snapToGrid w:val="0"/>
        <w:spacing w:line="560" w:lineRule="exact"/>
        <w:rPr>
          <w:rFonts w:eastAsia="楷体_GB2312"/>
          <w:b/>
          <w:bCs/>
          <w:color w:val="000000" w:themeColor="text1"/>
          <w:sz w:val="32"/>
          <w14:textFill>
            <w14:solidFill>
              <w14:schemeClr w14:val="tx1"/>
            </w14:solidFill>
          </w14:textFill>
        </w:rPr>
      </w:pPr>
      <w:r>
        <w:rPr>
          <w:rFonts w:ascii="黑体" w:hAnsi="黑体" w:eastAsia="黑体" w:cs="黑体"/>
          <w:bCs/>
          <w:color w:val="000000" w:themeColor="text1"/>
          <w:kern w:val="44"/>
          <w:sz w:val="28"/>
          <w:szCs w:val="28"/>
          <w14:textFill>
            <w14:solidFill>
              <w14:schemeClr w14:val="tx1"/>
            </w14:solidFill>
          </w14:textFill>
        </w:rPr>
        <w:t>2.2主要内容及其确定的依据</w:t>
      </w:r>
    </w:p>
    <w:p w14:paraId="6A6123AE">
      <w:pPr>
        <w:widowControl/>
        <w:adjustRightInd w:val="0"/>
        <w:snapToGrid w:val="0"/>
        <w:spacing w:line="560" w:lineRule="exact"/>
        <w:rPr>
          <w:rFonts w:eastAsia="仿宋_GB2312"/>
          <w:b/>
          <w:bCs/>
          <w:color w:val="000000" w:themeColor="text1"/>
          <w:sz w:val="28"/>
          <w:szCs w:val="28"/>
          <w14:textFill>
            <w14:solidFill>
              <w14:schemeClr w14:val="tx1"/>
            </w14:solidFill>
          </w14:textFill>
        </w:rPr>
      </w:pPr>
      <w:r>
        <w:rPr>
          <w:rFonts w:eastAsia="仿宋_GB2312"/>
          <w:b/>
          <w:bCs/>
          <w:color w:val="000000" w:themeColor="text1"/>
          <w:sz w:val="28"/>
          <w:szCs w:val="28"/>
          <w14:textFill>
            <w14:solidFill>
              <w14:schemeClr w14:val="tx1"/>
            </w14:solidFill>
          </w14:textFill>
        </w:rPr>
        <w:t xml:space="preserve">2.2.1 </w:t>
      </w:r>
      <w:r>
        <w:rPr>
          <w:rFonts w:hint="eastAsia" w:eastAsia="仿宋_GB2312"/>
          <w:b/>
          <w:bCs/>
          <w:color w:val="000000" w:themeColor="text1"/>
          <w:sz w:val="28"/>
          <w:szCs w:val="28"/>
          <w14:textFill>
            <w14:solidFill>
              <w14:schemeClr w14:val="tx1"/>
            </w14:solidFill>
          </w14:textFill>
        </w:rPr>
        <w:t>主要内容</w:t>
      </w:r>
    </w:p>
    <w:p w14:paraId="13215F84">
      <w:pPr>
        <w:widowControl/>
        <w:adjustRightInd w:val="0"/>
        <w:snapToGrid w:val="0"/>
        <w:spacing w:line="560" w:lineRule="exact"/>
        <w:ind w:firstLine="560" w:firstLineChars="20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本文件拟修改采用ISO</w:t>
      </w:r>
      <w:r>
        <w:rPr>
          <w:rFonts w:eastAsia="仿宋_GB2312"/>
          <w:color w:val="000000" w:themeColor="text1"/>
          <w:sz w:val="28"/>
          <w:szCs w:val="28"/>
          <w14:textFill>
            <w14:solidFill>
              <w14:schemeClr w14:val="tx1"/>
            </w14:solidFill>
          </w14:textFill>
        </w:rPr>
        <w:t xml:space="preserve"> 123:2001</w:t>
      </w:r>
      <w:r>
        <w:rPr>
          <w:rFonts w:hint="eastAsia" w:eastAsia="仿宋_GB2312"/>
          <w:color w:val="000000" w:themeColor="text1"/>
          <w:sz w:val="28"/>
          <w:szCs w:val="28"/>
          <w14:textFill>
            <w14:solidFill>
              <w14:schemeClr w14:val="tx1"/>
            </w14:solidFill>
          </w14:textFill>
        </w:rPr>
        <w:t>。本文件描述了技术分级橡胶（TSR）凝胶含量的测定方法，主要内容包括：范围、规范性引用文件、术语和定义、原理、仪器、取样、实验室样品和试样的标记、取样报告和资料性附录A。在试验验证的基础上，经过综合分析，确定了上述主要技术内容。</w:t>
      </w:r>
    </w:p>
    <w:p w14:paraId="2C32462C">
      <w:pPr>
        <w:widowControl/>
        <w:adjustRightInd w:val="0"/>
        <w:snapToGrid w:val="0"/>
        <w:spacing w:line="560" w:lineRule="exact"/>
        <w:rPr>
          <w:rFonts w:eastAsia="仿宋_GB2312"/>
          <w:b/>
          <w:bCs/>
          <w:color w:val="000000" w:themeColor="text1"/>
          <w:sz w:val="28"/>
          <w:szCs w:val="28"/>
          <w14:textFill>
            <w14:solidFill>
              <w14:schemeClr w14:val="tx1"/>
            </w14:solidFill>
          </w14:textFill>
        </w:rPr>
      </w:pPr>
      <w:r>
        <w:rPr>
          <w:rFonts w:eastAsia="仿宋_GB2312"/>
          <w:b/>
          <w:bCs/>
          <w:color w:val="000000" w:themeColor="text1"/>
          <w:sz w:val="28"/>
          <w:szCs w:val="28"/>
          <w14:textFill>
            <w14:solidFill>
              <w14:schemeClr w14:val="tx1"/>
            </w14:solidFill>
          </w14:textFill>
        </w:rPr>
        <w:t xml:space="preserve">2.2.2 </w:t>
      </w:r>
      <w:r>
        <w:rPr>
          <w:rFonts w:hint="eastAsia" w:eastAsia="仿宋_GB2312"/>
          <w:b/>
          <w:bCs/>
          <w:color w:val="000000" w:themeColor="text1"/>
          <w:sz w:val="28"/>
          <w:szCs w:val="28"/>
          <w14:textFill>
            <w14:solidFill>
              <w14:schemeClr w14:val="tx1"/>
            </w14:solidFill>
          </w14:textFill>
        </w:rPr>
        <w:t>修改的技术内容说明</w:t>
      </w:r>
    </w:p>
    <w:p w14:paraId="29B7A096">
      <w:pPr>
        <w:widowControl/>
        <w:adjustRightInd w:val="0"/>
        <w:snapToGrid w:val="0"/>
        <w:spacing w:line="560" w:lineRule="exact"/>
        <w:ind w:firstLine="560" w:firstLineChars="20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本文件代替GB/T</w:t>
      </w:r>
      <w:r>
        <w:rPr>
          <w:rFonts w:eastAsia="仿宋_GB2312"/>
          <w:color w:val="000000" w:themeColor="text1"/>
          <w:sz w:val="28"/>
          <w:szCs w:val="28"/>
          <w14:textFill>
            <w14:solidFill>
              <w14:schemeClr w14:val="tx1"/>
            </w14:solidFill>
          </w14:textFill>
        </w:rPr>
        <w:t xml:space="preserve"> </w:t>
      </w:r>
      <w:r>
        <w:rPr>
          <w:rFonts w:hint="eastAsia" w:eastAsia="仿宋_GB2312"/>
          <w:color w:val="000000" w:themeColor="text1"/>
          <w:sz w:val="28"/>
          <w:szCs w:val="28"/>
          <w14:textFill>
            <w14:solidFill>
              <w14:schemeClr w14:val="tx1"/>
            </w14:solidFill>
          </w14:textFill>
        </w:rPr>
        <w:t>8290—2021《胶乳</w:t>
      </w:r>
      <w:r>
        <w:rPr>
          <w:rFonts w:eastAsia="仿宋_GB2312"/>
          <w:color w:val="000000" w:themeColor="text1"/>
          <w:sz w:val="28"/>
          <w:szCs w:val="28"/>
          <w14:textFill>
            <w14:solidFill>
              <w14:schemeClr w14:val="tx1"/>
            </w14:solidFill>
          </w14:textFill>
        </w:rPr>
        <w:t xml:space="preserve"> </w:t>
      </w:r>
      <w:r>
        <w:rPr>
          <w:rFonts w:hint="eastAsia" w:eastAsia="仿宋_GB2312"/>
          <w:color w:val="000000" w:themeColor="text1"/>
          <w:sz w:val="28"/>
          <w:szCs w:val="28"/>
          <w14:textFill>
            <w14:solidFill>
              <w14:schemeClr w14:val="tx1"/>
            </w14:solidFill>
          </w14:textFill>
        </w:rPr>
        <w:t>取样》和GB/T</w:t>
      </w:r>
      <w:r>
        <w:rPr>
          <w:rFonts w:eastAsia="仿宋_GB2312"/>
          <w:color w:val="000000" w:themeColor="text1"/>
          <w:sz w:val="28"/>
          <w:szCs w:val="28"/>
          <w14:textFill>
            <w14:solidFill>
              <w14:schemeClr w14:val="tx1"/>
            </w14:solidFill>
          </w14:textFill>
        </w:rPr>
        <w:t xml:space="preserve"> </w:t>
      </w:r>
      <w:r>
        <w:rPr>
          <w:rFonts w:hint="eastAsia" w:eastAsia="仿宋_GB2312"/>
          <w:color w:val="000000" w:themeColor="text1"/>
          <w:sz w:val="28"/>
          <w:szCs w:val="28"/>
          <w14:textFill>
            <w14:solidFill>
              <w14:schemeClr w14:val="tx1"/>
            </w14:solidFill>
          </w14:textFill>
        </w:rPr>
        <w:t>24130—2009《柔性包装胶乳</w:t>
      </w:r>
      <w:r>
        <w:rPr>
          <w:rFonts w:eastAsia="仿宋_GB2312"/>
          <w:color w:val="000000" w:themeColor="text1"/>
          <w:sz w:val="28"/>
          <w:szCs w:val="28"/>
          <w14:textFill>
            <w14:solidFill>
              <w14:schemeClr w14:val="tx1"/>
            </w14:solidFill>
          </w14:textFill>
        </w:rPr>
        <w:t xml:space="preserve"> </w:t>
      </w:r>
      <w:r>
        <w:rPr>
          <w:rFonts w:hint="eastAsia" w:eastAsia="仿宋_GB2312"/>
          <w:color w:val="000000" w:themeColor="text1"/>
          <w:sz w:val="28"/>
          <w:szCs w:val="28"/>
          <w14:textFill>
            <w14:solidFill>
              <w14:schemeClr w14:val="tx1"/>
            </w14:solidFill>
          </w14:textFill>
        </w:rPr>
        <w:t>取样》。本文件以GB/T</w:t>
      </w:r>
      <w:r>
        <w:rPr>
          <w:rFonts w:eastAsia="仿宋_GB2312"/>
          <w:color w:val="000000" w:themeColor="text1"/>
          <w:sz w:val="28"/>
          <w:szCs w:val="28"/>
          <w14:textFill>
            <w14:solidFill>
              <w14:schemeClr w14:val="tx1"/>
            </w14:solidFill>
          </w14:textFill>
        </w:rPr>
        <w:t xml:space="preserve"> </w:t>
      </w:r>
      <w:r>
        <w:rPr>
          <w:rFonts w:hint="eastAsia" w:eastAsia="仿宋_GB2312"/>
          <w:color w:val="000000" w:themeColor="text1"/>
          <w:sz w:val="28"/>
          <w:szCs w:val="28"/>
          <w14:textFill>
            <w14:solidFill>
              <w14:schemeClr w14:val="tx1"/>
            </w14:solidFill>
          </w14:textFill>
        </w:rPr>
        <w:t>8290—2021为主，整合了GB/T</w:t>
      </w:r>
      <w:r>
        <w:rPr>
          <w:rFonts w:eastAsia="仿宋_GB2312"/>
          <w:color w:val="000000" w:themeColor="text1"/>
          <w:sz w:val="28"/>
          <w:szCs w:val="28"/>
          <w14:textFill>
            <w14:solidFill>
              <w14:schemeClr w14:val="tx1"/>
            </w14:solidFill>
          </w14:textFill>
        </w:rPr>
        <w:t xml:space="preserve"> </w:t>
      </w:r>
      <w:r>
        <w:rPr>
          <w:rFonts w:hint="eastAsia" w:eastAsia="仿宋_GB2312"/>
          <w:color w:val="000000" w:themeColor="text1"/>
          <w:sz w:val="28"/>
          <w:szCs w:val="28"/>
          <w14:textFill>
            <w14:solidFill>
              <w14:schemeClr w14:val="tx1"/>
            </w14:solidFill>
          </w14:textFill>
        </w:rPr>
        <w:t>24130—2009的内容。与GB/T</w:t>
      </w:r>
      <w:r>
        <w:rPr>
          <w:rFonts w:eastAsia="仿宋_GB2312"/>
          <w:color w:val="000000" w:themeColor="text1"/>
          <w:sz w:val="28"/>
          <w:szCs w:val="28"/>
          <w14:textFill>
            <w14:solidFill>
              <w14:schemeClr w14:val="tx1"/>
            </w14:solidFill>
          </w14:textFill>
        </w:rPr>
        <w:t xml:space="preserve"> </w:t>
      </w:r>
      <w:r>
        <w:rPr>
          <w:rFonts w:hint="eastAsia" w:eastAsia="仿宋_GB2312"/>
          <w:color w:val="000000" w:themeColor="text1"/>
          <w:sz w:val="28"/>
          <w:szCs w:val="28"/>
          <w14:textFill>
            <w14:solidFill>
              <w14:schemeClr w14:val="tx1"/>
            </w14:solidFill>
          </w14:textFill>
        </w:rPr>
        <w:t>8290—2021相比，除结构调整和编辑性改动外，主要技术变化如下：</w:t>
      </w:r>
    </w:p>
    <w:p w14:paraId="208CA874">
      <w:pPr>
        <w:widowControl/>
        <w:numPr>
          <w:ilvl w:val="0"/>
          <w:numId w:val="4"/>
        </w:numPr>
        <w:adjustRightInd w:val="0"/>
        <w:snapToGrid w:val="0"/>
        <w:spacing w:line="560" w:lineRule="exact"/>
        <w:ind w:left="0" w:firstLine="560" w:firstLineChars="200"/>
        <w:rPr>
          <w:rFonts w:hint="eastAsia"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更改了文件的适用范围，增加了适用于集装箱液袋等柔性包装胶乳的取样</w:t>
      </w:r>
      <w:r>
        <w:rPr>
          <w:rFonts w:hint="eastAsia" w:eastAsia="仿宋_GB2312"/>
          <w:color w:val="000000" w:themeColor="text1"/>
          <w:sz w:val="28"/>
          <w:szCs w:val="28"/>
          <w14:textFill>
            <w14:solidFill>
              <w14:schemeClr w14:val="tx1"/>
            </w14:solidFill>
          </w14:textFill>
        </w:rPr>
        <w:t>；</w:t>
      </w:r>
    </w:p>
    <w:p w14:paraId="1E2C1977">
      <w:pPr>
        <w:widowControl/>
        <w:numPr>
          <w:ilvl w:val="0"/>
          <w:numId w:val="4"/>
        </w:numPr>
        <w:adjustRightInd w:val="0"/>
        <w:snapToGrid w:val="0"/>
        <w:spacing w:line="560" w:lineRule="exact"/>
        <w:ind w:left="0" w:firstLine="560" w:firstLineChars="200"/>
        <w:rPr>
          <w:rFonts w:hint="eastAsia"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在“仪器”中增加了“柔性包装胶乳的取样装置”</w:t>
      </w:r>
      <w:r>
        <w:rPr>
          <w:rFonts w:hint="eastAsia" w:eastAsia="仿宋_GB2312"/>
          <w:color w:val="000000" w:themeColor="text1"/>
          <w:sz w:val="28"/>
          <w:szCs w:val="28"/>
          <w14:textFill>
            <w14:solidFill>
              <w14:schemeClr w14:val="tx1"/>
            </w14:solidFill>
          </w14:textFill>
        </w:rPr>
        <w:t>；</w:t>
      </w:r>
    </w:p>
    <w:p w14:paraId="5A4D992B">
      <w:pPr>
        <w:widowControl/>
        <w:numPr>
          <w:ilvl w:val="0"/>
          <w:numId w:val="4"/>
        </w:numPr>
        <w:adjustRightInd w:val="0"/>
        <w:snapToGrid w:val="0"/>
        <w:spacing w:line="560" w:lineRule="exact"/>
        <w:ind w:left="0" w:firstLine="560" w:firstLineChars="200"/>
        <w:rPr>
          <w:rFonts w:hint="eastAsia" w:eastAsia="仿宋_GB2312" w:cs="Times New Roman"/>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在“取样”中增加了“从柔性包装中取样”</w:t>
      </w:r>
      <w:r>
        <w:rPr>
          <w:rFonts w:hint="eastAsia" w:eastAsia="仿宋_GB2312"/>
          <w:color w:val="000000" w:themeColor="text1"/>
          <w:sz w:val="28"/>
          <w:szCs w:val="28"/>
          <w14:textFill>
            <w14:solidFill>
              <w14:schemeClr w14:val="tx1"/>
            </w14:solidFill>
          </w14:textFill>
        </w:rPr>
        <w:t>。</w:t>
      </w:r>
    </w:p>
    <w:p w14:paraId="65397DBA">
      <w:pPr>
        <w:adjustRightInd w:val="0"/>
        <w:snapToGrid w:val="0"/>
        <w:spacing w:line="560" w:lineRule="exact"/>
        <w:rPr>
          <w:rFonts w:ascii="黑体" w:hAnsi="黑体" w:eastAsia="黑体" w:cs="黑体"/>
          <w:bCs/>
          <w:color w:val="000000" w:themeColor="text1"/>
          <w:kern w:val="44"/>
          <w:sz w:val="28"/>
          <w:szCs w:val="28"/>
          <w14:textFill>
            <w14:solidFill>
              <w14:schemeClr w14:val="tx1"/>
            </w14:solidFill>
          </w14:textFill>
        </w:rPr>
      </w:pPr>
      <w:r>
        <w:rPr>
          <w:rFonts w:hint="eastAsia" w:ascii="黑体" w:hAnsi="黑体" w:eastAsia="黑体" w:cs="黑体"/>
          <w:bCs/>
          <w:color w:val="000000" w:themeColor="text1"/>
          <w:kern w:val="44"/>
          <w:sz w:val="28"/>
          <w:szCs w:val="28"/>
          <w14:textFill>
            <w14:solidFill>
              <w14:schemeClr w14:val="tx1"/>
            </w14:solidFill>
          </w14:textFill>
        </w:rPr>
        <w:t>3 试验验证的分析、综述报告，技术经济论证，预期的经济效益、社会效益和生态效益</w:t>
      </w:r>
    </w:p>
    <w:p w14:paraId="0A4AD7DE">
      <w:pPr>
        <w:adjustRightInd w:val="0"/>
        <w:snapToGrid w:val="0"/>
        <w:spacing w:line="560" w:lineRule="exact"/>
        <w:rPr>
          <w:rFonts w:ascii="黑体" w:hAnsi="黑体" w:eastAsia="黑体" w:cs="黑体"/>
          <w:bCs/>
          <w:color w:val="000000" w:themeColor="text1"/>
          <w:sz w:val="28"/>
          <w:szCs w:val="28"/>
          <w14:textFill>
            <w14:solidFill>
              <w14:schemeClr w14:val="tx1"/>
            </w14:solidFill>
          </w14:textFill>
        </w:rPr>
      </w:pPr>
      <w:r>
        <w:rPr>
          <w:rFonts w:hint="eastAsia" w:ascii="黑体" w:hAnsi="黑体" w:eastAsia="黑体" w:cs="黑体"/>
          <w:bCs/>
          <w:color w:val="000000" w:themeColor="text1"/>
          <w:sz w:val="28"/>
          <w:szCs w:val="28"/>
          <w14:textFill>
            <w14:solidFill>
              <w14:schemeClr w14:val="tx1"/>
            </w14:solidFill>
          </w14:textFill>
        </w:rPr>
        <w:t>3.1试验或验证的分析、综述报告</w:t>
      </w:r>
    </w:p>
    <w:p w14:paraId="0BC8628A">
      <w:pPr>
        <w:pStyle w:val="2"/>
        <w:widowControl/>
        <w:adjustRightInd w:val="0"/>
        <w:snapToGrid w:val="0"/>
        <w:spacing w:beforeAutospacing="0" w:afterAutospacing="0" w:line="560" w:lineRule="exact"/>
        <w:ind w:firstLine="560" w:firstLineChars="200"/>
        <w:rPr>
          <w:rFonts w:hint="default" w:ascii="Times New Roman" w:hAnsi="Times New Roman" w:eastAsia="仿宋_GB2312" w:cs="Arial"/>
          <w:b w:val="0"/>
          <w:bCs w:val="0"/>
          <w:color w:val="000000" w:themeColor="text1"/>
          <w:kern w:val="2"/>
          <w:sz w:val="28"/>
          <w:szCs w:val="28"/>
          <w14:textFill>
            <w14:solidFill>
              <w14:schemeClr w14:val="tx1"/>
            </w14:solidFill>
          </w14:textFill>
        </w:rPr>
      </w:pPr>
      <w:r>
        <w:rPr>
          <w:rFonts w:ascii="Times New Roman" w:hAnsi="Times New Roman" w:eastAsia="仿宋_GB2312" w:cs="Arial"/>
          <w:b w:val="0"/>
          <w:bCs w:val="0"/>
          <w:color w:val="000000" w:themeColor="text1"/>
          <w:kern w:val="2"/>
          <w:sz w:val="28"/>
          <w:szCs w:val="28"/>
          <w14:textFill>
            <w14:solidFill>
              <w14:schemeClr w14:val="tx1"/>
            </w14:solidFill>
          </w14:textFill>
        </w:rPr>
        <w:t>针对本标准的内容，标准</w:t>
      </w:r>
      <w:r>
        <w:rPr>
          <w:rFonts w:hint="eastAsia" w:ascii="Times New Roman" w:hAnsi="Times New Roman" w:eastAsia="仿宋_GB2312" w:cs="Arial"/>
          <w:b w:val="0"/>
          <w:bCs w:val="0"/>
          <w:color w:val="000000" w:themeColor="text1"/>
          <w:kern w:val="2"/>
          <w:sz w:val="28"/>
          <w:szCs w:val="28"/>
          <w:lang w:eastAsia="zh-CN"/>
          <w14:textFill>
            <w14:solidFill>
              <w14:schemeClr w14:val="tx1"/>
            </w14:solidFill>
          </w14:textFill>
        </w:rPr>
        <w:t>修订</w:t>
      </w:r>
      <w:r>
        <w:rPr>
          <w:rFonts w:ascii="Times New Roman" w:hAnsi="Times New Roman" w:eastAsia="仿宋_GB2312" w:cs="Arial"/>
          <w:b w:val="0"/>
          <w:bCs w:val="0"/>
          <w:color w:val="000000" w:themeColor="text1"/>
          <w:kern w:val="2"/>
          <w:sz w:val="28"/>
          <w:szCs w:val="28"/>
          <w14:textFill>
            <w14:solidFill>
              <w14:schemeClr w14:val="tx1"/>
            </w14:solidFill>
          </w14:textFill>
        </w:rPr>
        <w:t>小组组织开展了柔性包装浓缩天然胶乳取样验证试验。</w:t>
      </w:r>
      <w:r>
        <w:rPr>
          <w:rFonts w:hint="eastAsia" w:ascii="Times New Roman" w:hAnsi="Times New Roman" w:eastAsia="仿宋_GB2312" w:cs="Arial"/>
          <w:b w:val="0"/>
          <w:bCs w:val="0"/>
          <w:color w:val="000000" w:themeColor="text1"/>
          <w:kern w:val="2"/>
          <w:sz w:val="28"/>
          <w:szCs w:val="28"/>
          <w:lang w:eastAsia="zh-CN"/>
          <w14:textFill>
            <w14:solidFill>
              <w14:schemeClr w14:val="tx1"/>
            </w14:solidFill>
          </w14:textFill>
        </w:rPr>
        <w:t>从两家企业选取了使用柔性包装的四个浓缩天然胶乳（柔性包装</w:t>
      </w:r>
      <w:r>
        <w:rPr>
          <w:rFonts w:hint="eastAsia" w:ascii="Times New Roman" w:hAnsi="Times New Roman" w:eastAsia="仿宋_GB2312" w:cs="Arial"/>
          <w:b w:val="0"/>
          <w:bCs w:val="0"/>
          <w:color w:val="000000" w:themeColor="text1"/>
          <w:kern w:val="2"/>
          <w:sz w:val="28"/>
          <w:szCs w:val="28"/>
          <w:lang w:val="en-US" w:eastAsia="zh-CN"/>
          <w14:textFill>
            <w14:solidFill>
              <w14:schemeClr w14:val="tx1"/>
            </w14:solidFill>
          </w14:textFill>
        </w:rPr>
        <w:t>1、</w:t>
      </w:r>
      <w:r>
        <w:rPr>
          <w:rFonts w:hint="eastAsia" w:ascii="Times New Roman" w:hAnsi="Times New Roman" w:eastAsia="仿宋_GB2312" w:cs="Arial"/>
          <w:b w:val="0"/>
          <w:bCs w:val="0"/>
          <w:color w:val="000000" w:themeColor="text1"/>
          <w:kern w:val="2"/>
          <w:sz w:val="28"/>
          <w:szCs w:val="28"/>
          <w:lang w:eastAsia="zh-CN"/>
          <w14:textFill>
            <w14:solidFill>
              <w14:schemeClr w14:val="tx1"/>
            </w14:solidFill>
          </w14:textFill>
        </w:rPr>
        <w:t>柔性包装</w:t>
      </w:r>
      <w:r>
        <w:rPr>
          <w:rFonts w:hint="eastAsia" w:ascii="Times New Roman" w:hAnsi="Times New Roman" w:eastAsia="仿宋_GB2312" w:cs="Arial"/>
          <w:b w:val="0"/>
          <w:bCs w:val="0"/>
          <w:color w:val="000000" w:themeColor="text1"/>
          <w:kern w:val="2"/>
          <w:sz w:val="28"/>
          <w:szCs w:val="28"/>
          <w:lang w:val="en-US" w:eastAsia="zh-CN"/>
          <w14:textFill>
            <w14:solidFill>
              <w14:schemeClr w14:val="tx1"/>
            </w14:solidFill>
          </w14:textFill>
        </w:rPr>
        <w:t>2、</w:t>
      </w:r>
      <w:r>
        <w:rPr>
          <w:rFonts w:hint="eastAsia" w:ascii="Times New Roman" w:hAnsi="Times New Roman" w:eastAsia="仿宋_GB2312" w:cs="Arial"/>
          <w:b w:val="0"/>
          <w:bCs w:val="0"/>
          <w:color w:val="000000" w:themeColor="text1"/>
          <w:kern w:val="2"/>
          <w:sz w:val="28"/>
          <w:szCs w:val="28"/>
          <w:lang w:eastAsia="zh-CN"/>
          <w14:textFill>
            <w14:solidFill>
              <w14:schemeClr w14:val="tx1"/>
            </w14:solidFill>
          </w14:textFill>
        </w:rPr>
        <w:t>柔性包装</w:t>
      </w:r>
      <w:r>
        <w:rPr>
          <w:rFonts w:hint="eastAsia" w:ascii="Times New Roman" w:hAnsi="Times New Roman" w:eastAsia="仿宋_GB2312" w:cs="Arial"/>
          <w:b w:val="0"/>
          <w:bCs w:val="0"/>
          <w:color w:val="000000" w:themeColor="text1"/>
          <w:kern w:val="2"/>
          <w:sz w:val="28"/>
          <w:szCs w:val="28"/>
          <w:lang w:val="en-US" w:eastAsia="zh-CN"/>
          <w14:textFill>
            <w14:solidFill>
              <w14:schemeClr w14:val="tx1"/>
            </w14:solidFill>
          </w14:textFill>
        </w:rPr>
        <w:t>3和</w:t>
      </w:r>
      <w:r>
        <w:rPr>
          <w:rFonts w:hint="eastAsia" w:ascii="Times New Roman" w:hAnsi="Times New Roman" w:eastAsia="仿宋_GB2312" w:cs="Arial"/>
          <w:b w:val="0"/>
          <w:bCs w:val="0"/>
          <w:color w:val="000000" w:themeColor="text1"/>
          <w:kern w:val="2"/>
          <w:sz w:val="28"/>
          <w:szCs w:val="28"/>
          <w:lang w:eastAsia="zh-CN"/>
          <w14:textFill>
            <w14:solidFill>
              <w14:schemeClr w14:val="tx1"/>
            </w14:solidFill>
          </w14:textFill>
        </w:rPr>
        <w:t>柔性包装</w:t>
      </w:r>
      <w:r>
        <w:rPr>
          <w:rFonts w:hint="eastAsia" w:ascii="Times New Roman" w:hAnsi="Times New Roman" w:eastAsia="仿宋_GB2312" w:cs="Arial"/>
          <w:b w:val="0"/>
          <w:bCs w:val="0"/>
          <w:color w:val="000000" w:themeColor="text1"/>
          <w:kern w:val="2"/>
          <w:sz w:val="28"/>
          <w:szCs w:val="28"/>
          <w:lang w:val="en-US" w:eastAsia="zh-CN"/>
          <w14:textFill>
            <w14:solidFill>
              <w14:schemeClr w14:val="tx1"/>
            </w14:solidFill>
          </w14:textFill>
        </w:rPr>
        <w:t>4</w:t>
      </w:r>
      <w:r>
        <w:rPr>
          <w:rFonts w:hint="eastAsia" w:ascii="Times New Roman" w:hAnsi="Times New Roman" w:eastAsia="仿宋_GB2312" w:cs="Arial"/>
          <w:b w:val="0"/>
          <w:bCs w:val="0"/>
          <w:color w:val="000000" w:themeColor="text1"/>
          <w:kern w:val="2"/>
          <w:sz w:val="28"/>
          <w:szCs w:val="28"/>
          <w:lang w:eastAsia="zh-CN"/>
          <w14:textFill>
            <w14:solidFill>
              <w14:schemeClr w14:val="tx1"/>
            </w14:solidFill>
          </w14:textFill>
        </w:rPr>
        <w:t>），使用分流取样器</w:t>
      </w:r>
      <w:r>
        <w:rPr>
          <w:rFonts w:ascii="Times New Roman" w:hAnsi="Times New Roman" w:eastAsia="仿宋_GB2312" w:cs="Arial"/>
          <w:b w:val="0"/>
          <w:bCs w:val="0"/>
          <w:color w:val="000000" w:themeColor="text1"/>
          <w:kern w:val="2"/>
          <w:sz w:val="28"/>
          <w:szCs w:val="28"/>
          <w14:textFill>
            <w14:solidFill>
              <w14:schemeClr w14:val="tx1"/>
            </w14:solidFill>
          </w14:textFill>
        </w:rPr>
        <w:t>分别从每个柔性包装胶乳袋取上、中、下层胶乳取样，</w:t>
      </w:r>
      <w:r>
        <w:rPr>
          <w:rFonts w:hint="eastAsia" w:ascii="Times New Roman" w:hAnsi="Times New Roman" w:eastAsia="仿宋_GB2312" w:cs="Arial"/>
          <w:b w:val="0"/>
          <w:bCs w:val="0"/>
          <w:color w:val="000000" w:themeColor="text1"/>
          <w:kern w:val="2"/>
          <w:sz w:val="28"/>
          <w:szCs w:val="28"/>
          <w:lang w:eastAsia="zh-CN"/>
          <w14:textFill>
            <w14:solidFill>
              <w14:schemeClr w14:val="tx1"/>
            </w14:solidFill>
          </w14:textFill>
        </w:rPr>
        <w:t>取样后再</w:t>
      </w:r>
      <w:r>
        <w:rPr>
          <w:rFonts w:ascii="Times New Roman" w:hAnsi="Times New Roman" w:eastAsia="仿宋_GB2312" w:cs="Arial"/>
          <w:b w:val="0"/>
          <w:bCs w:val="0"/>
          <w:color w:val="000000" w:themeColor="text1"/>
          <w:kern w:val="2"/>
          <w:sz w:val="28"/>
          <w:szCs w:val="28"/>
          <w14:textFill>
            <w14:solidFill>
              <w14:schemeClr w14:val="tx1"/>
            </w14:solidFill>
          </w14:textFill>
        </w:rPr>
        <w:t>按GB/T 8298</w:t>
      </w:r>
      <w:r>
        <w:rPr>
          <w:rFonts w:hint="eastAsia" w:eastAsia="仿宋_GB2312"/>
          <w:color w:val="000000" w:themeColor="text1"/>
          <w:sz w:val="28"/>
          <w:szCs w:val="28"/>
          <w14:textFill>
            <w14:solidFill>
              <w14:schemeClr w14:val="tx1"/>
            </w14:solidFill>
          </w14:textFill>
        </w:rPr>
        <w:t>—</w:t>
      </w:r>
      <w:r>
        <w:rPr>
          <w:rFonts w:ascii="Times New Roman" w:hAnsi="Times New Roman" w:eastAsia="仿宋_GB2312" w:cs="Arial"/>
          <w:b w:val="0"/>
          <w:bCs w:val="0"/>
          <w:color w:val="000000" w:themeColor="text1"/>
          <w:kern w:val="2"/>
          <w:sz w:val="28"/>
          <w:szCs w:val="28"/>
          <w14:textFill>
            <w14:solidFill>
              <w14:schemeClr w14:val="tx1"/>
            </w14:solidFill>
          </w14:textFill>
        </w:rPr>
        <w:t>2017对总固体含量进行测定。具体试验数据见表1</w:t>
      </w:r>
      <w:r>
        <w:rPr>
          <w:rFonts w:hint="default" w:ascii="Times New Roman" w:hAnsi="Times New Roman" w:eastAsia="仿宋_GB2312" w:cs="Times New Roman"/>
          <w:b w:val="0"/>
          <w:bCs w:val="0"/>
          <w:color w:val="000000" w:themeColor="text1"/>
          <w:kern w:val="2"/>
          <w:sz w:val="28"/>
          <w:szCs w:val="28"/>
          <w14:textFill>
            <w14:solidFill>
              <w14:schemeClr w14:val="tx1"/>
            </w14:solidFill>
          </w14:textFill>
        </w:rPr>
        <w:t>~</w:t>
      </w:r>
      <w:r>
        <w:rPr>
          <w:rFonts w:hint="eastAsia" w:ascii="Times New Roman" w:hAnsi="Times New Roman" w:eastAsia="仿宋_GB2312" w:cs="Arial"/>
          <w:b w:val="0"/>
          <w:bCs w:val="0"/>
          <w:color w:val="000000" w:themeColor="text1"/>
          <w:kern w:val="2"/>
          <w:sz w:val="28"/>
          <w:szCs w:val="28"/>
          <w:lang w:eastAsia="zh-CN"/>
          <w14:textFill>
            <w14:solidFill>
              <w14:schemeClr w14:val="tx1"/>
            </w14:solidFill>
          </w14:textFill>
        </w:rPr>
        <w:t>表</w:t>
      </w:r>
      <w:r>
        <w:rPr>
          <w:rFonts w:ascii="Times New Roman" w:hAnsi="Times New Roman" w:eastAsia="仿宋_GB2312" w:cs="Arial"/>
          <w:b w:val="0"/>
          <w:bCs w:val="0"/>
          <w:color w:val="000000" w:themeColor="text1"/>
          <w:kern w:val="2"/>
          <w:sz w:val="28"/>
          <w:szCs w:val="28"/>
          <w14:textFill>
            <w14:solidFill>
              <w14:schemeClr w14:val="tx1"/>
            </w14:solidFill>
          </w14:textFill>
        </w:rPr>
        <w:t>4。</w:t>
      </w:r>
    </w:p>
    <w:p w14:paraId="4D1DE027">
      <w:pPr>
        <w:spacing w:line="360" w:lineRule="auto"/>
        <w:jc w:val="center"/>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 xml:space="preserve">表1 </w:t>
      </w:r>
      <w:r>
        <w:rPr>
          <w:rFonts w:hint="eastAsia"/>
          <w:b/>
          <w:color w:val="000000" w:themeColor="text1"/>
          <w:sz w:val="24"/>
          <w:lang w:eastAsia="zh-CN"/>
          <w14:textFill>
            <w14:solidFill>
              <w14:schemeClr w14:val="tx1"/>
            </w14:solidFill>
          </w14:textFill>
        </w:rPr>
        <w:t>柔性包装</w:t>
      </w:r>
      <w:r>
        <w:rPr>
          <w:rFonts w:hint="eastAsia"/>
          <w:b/>
          <w:color w:val="000000" w:themeColor="text1"/>
          <w:sz w:val="24"/>
          <w:lang w:val="en-US" w:eastAsia="zh-CN"/>
          <w14:textFill>
            <w14:solidFill>
              <w14:schemeClr w14:val="tx1"/>
            </w14:solidFill>
          </w14:textFill>
        </w:rPr>
        <w:t>1</w:t>
      </w:r>
      <w:r>
        <w:rPr>
          <w:rFonts w:hint="eastAsia" w:ascii="宋体" w:hAnsi="宋体"/>
          <w:b/>
          <w:color w:val="000000" w:themeColor="text1"/>
          <w:sz w:val="24"/>
          <w14:textFill>
            <w14:solidFill>
              <w14:schemeClr w14:val="tx1"/>
            </w14:solidFill>
          </w14:textFill>
        </w:rPr>
        <w:t>不同位置样品总固物含量测定值</w:t>
      </w:r>
    </w:p>
    <w:p w14:paraId="2CB77BE0">
      <w:pPr>
        <w:overflowPunct w:val="0"/>
        <w:adjustRightInd w:val="0"/>
        <w:jc w:val="righ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单位：</w:t>
      </w:r>
      <w:r>
        <w:rPr>
          <w:rFonts w:ascii="宋体" w:hAnsi="宋体" w:cs="宋体"/>
          <w:color w:val="000000" w:themeColor="text1"/>
          <w:kern w:val="0"/>
          <w:szCs w:val="21"/>
          <w14:textFill>
            <w14:solidFill>
              <w14:schemeClr w14:val="tx1"/>
            </w14:solidFill>
          </w14:textFill>
        </w:rPr>
        <w:t>%</w:t>
      </w:r>
    </w:p>
    <w:tbl>
      <w:tblPr>
        <w:tblStyle w:val="11"/>
        <w:tblW w:w="84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32" w:type="dxa"/>
          <w:left w:w="64" w:type="dxa"/>
          <w:bottom w:w="32" w:type="dxa"/>
          <w:right w:w="64" w:type="dxa"/>
        </w:tblCellMar>
      </w:tblPr>
      <w:tblGrid>
        <w:gridCol w:w="667"/>
        <w:gridCol w:w="921"/>
        <w:gridCol w:w="667"/>
        <w:gridCol w:w="1488"/>
        <w:gridCol w:w="844"/>
        <w:gridCol w:w="1392"/>
        <w:gridCol w:w="1394"/>
        <w:gridCol w:w="1098"/>
      </w:tblGrid>
      <w:tr w14:paraId="05067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1588" w:type="dxa"/>
            <w:gridSpan w:val="2"/>
            <w:vMerge w:val="restart"/>
            <w:vAlign w:val="center"/>
          </w:tcPr>
          <w:p w14:paraId="1707F8D5">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样品</w:t>
            </w:r>
          </w:p>
        </w:tc>
        <w:tc>
          <w:tcPr>
            <w:tcW w:w="667" w:type="dxa"/>
            <w:vMerge w:val="restart"/>
            <w:vAlign w:val="center"/>
          </w:tcPr>
          <w:p w14:paraId="282101F4">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测定</w:t>
            </w:r>
          </w:p>
          <w:p w14:paraId="78FD2673">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次数</w:t>
            </w:r>
          </w:p>
        </w:tc>
        <w:tc>
          <w:tcPr>
            <w:tcW w:w="6216" w:type="dxa"/>
            <w:gridSpan w:val="5"/>
            <w:vAlign w:val="center"/>
          </w:tcPr>
          <w:p w14:paraId="09059D34">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总固体含量（%）</w:t>
            </w:r>
          </w:p>
        </w:tc>
      </w:tr>
      <w:tr w14:paraId="74DCA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1588" w:type="dxa"/>
            <w:gridSpan w:val="2"/>
            <w:vMerge w:val="continue"/>
            <w:vAlign w:val="center"/>
          </w:tcPr>
          <w:p w14:paraId="0751BEDE">
            <w:pPr>
              <w:adjustRightInd w:val="0"/>
              <w:snapToGrid w:val="0"/>
              <w:jc w:val="center"/>
              <w:rPr>
                <w:rFonts w:hint="default"/>
                <w:bCs/>
                <w:color w:val="000000" w:themeColor="text1"/>
                <w:szCs w:val="21"/>
                <w14:textFill>
                  <w14:solidFill>
                    <w14:schemeClr w14:val="tx1"/>
                  </w14:solidFill>
                </w14:textFill>
              </w:rPr>
            </w:pPr>
          </w:p>
        </w:tc>
        <w:tc>
          <w:tcPr>
            <w:tcW w:w="667" w:type="dxa"/>
            <w:vMerge w:val="continue"/>
            <w:vAlign w:val="center"/>
          </w:tcPr>
          <w:p w14:paraId="46A179F1">
            <w:pPr>
              <w:adjustRightInd w:val="0"/>
              <w:snapToGrid w:val="0"/>
              <w:jc w:val="center"/>
              <w:rPr>
                <w:rFonts w:hint="default"/>
                <w:bCs/>
                <w:color w:val="000000" w:themeColor="text1"/>
                <w:szCs w:val="21"/>
                <w14:textFill>
                  <w14:solidFill>
                    <w14:schemeClr w14:val="tx1"/>
                  </w14:solidFill>
                </w14:textFill>
              </w:rPr>
            </w:pPr>
          </w:p>
        </w:tc>
        <w:tc>
          <w:tcPr>
            <w:tcW w:w="1488" w:type="dxa"/>
            <w:vAlign w:val="center"/>
          </w:tcPr>
          <w:p w14:paraId="1664D808">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单次测定</w:t>
            </w:r>
          </w:p>
          <w:p w14:paraId="0A6F2A4A">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结果</w:t>
            </w:r>
          </w:p>
        </w:tc>
        <w:tc>
          <w:tcPr>
            <w:tcW w:w="844" w:type="dxa"/>
            <w:vAlign w:val="center"/>
          </w:tcPr>
          <w:p w14:paraId="0813A1A6">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平均值</w:t>
            </w:r>
          </w:p>
        </w:tc>
        <w:tc>
          <w:tcPr>
            <w:tcW w:w="1392" w:type="dxa"/>
            <w:vAlign w:val="center"/>
          </w:tcPr>
          <w:p w14:paraId="2B362944">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差值</w:t>
            </w:r>
            <w:r>
              <w:rPr>
                <w:rFonts w:hint="default"/>
                <w:bCs/>
                <w:color w:val="000000" w:themeColor="text1"/>
                <w:szCs w:val="21"/>
                <w:vertAlign w:val="subscript"/>
                <w14:textFill>
                  <w14:solidFill>
                    <w14:schemeClr w14:val="tx1"/>
                  </w14:solidFill>
                </w14:textFill>
              </w:rPr>
              <w:t>（上-中）</w:t>
            </w:r>
          </w:p>
        </w:tc>
        <w:tc>
          <w:tcPr>
            <w:tcW w:w="1394" w:type="dxa"/>
            <w:vAlign w:val="center"/>
          </w:tcPr>
          <w:p w14:paraId="511B5E41">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差值</w:t>
            </w:r>
            <w:r>
              <w:rPr>
                <w:rFonts w:hint="default"/>
                <w:bCs/>
                <w:color w:val="000000" w:themeColor="text1"/>
                <w:szCs w:val="21"/>
                <w:vertAlign w:val="subscript"/>
                <w14:textFill>
                  <w14:solidFill>
                    <w14:schemeClr w14:val="tx1"/>
                  </w14:solidFill>
                </w14:textFill>
              </w:rPr>
              <w:t>（中-下）</w:t>
            </w:r>
          </w:p>
        </w:tc>
        <w:tc>
          <w:tcPr>
            <w:tcW w:w="1098" w:type="dxa"/>
            <w:vAlign w:val="center"/>
          </w:tcPr>
          <w:p w14:paraId="79C6BC00">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差值</w:t>
            </w:r>
            <w:r>
              <w:rPr>
                <w:rFonts w:hint="default"/>
                <w:bCs/>
                <w:color w:val="000000" w:themeColor="text1"/>
                <w:szCs w:val="21"/>
                <w:vertAlign w:val="subscript"/>
                <w14:textFill>
                  <w14:solidFill>
                    <w14:schemeClr w14:val="tx1"/>
                  </w14:solidFill>
                </w14:textFill>
              </w:rPr>
              <w:t>（上-下）</w:t>
            </w:r>
          </w:p>
        </w:tc>
      </w:tr>
      <w:tr w14:paraId="412A7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667" w:type="dxa"/>
            <w:vMerge w:val="restart"/>
            <w:vAlign w:val="center"/>
          </w:tcPr>
          <w:p w14:paraId="6C520F42">
            <w:pPr>
              <w:adjustRightInd w:val="0"/>
              <w:snapToGrid w:val="0"/>
              <w:jc w:val="center"/>
              <w:rPr>
                <w:rFonts w:hint="default"/>
                <w:color w:val="000000" w:themeColor="text1"/>
                <w:szCs w:val="21"/>
                <w14:textFill>
                  <w14:solidFill>
                    <w14:schemeClr w14:val="tx1"/>
                  </w14:solidFill>
                </w14:textFill>
              </w:rPr>
            </w:pPr>
            <w:r>
              <w:rPr>
                <w:rFonts w:hint="eastAsia"/>
                <w:color w:val="000000" w:themeColor="text1"/>
                <w:szCs w:val="21"/>
                <w:lang w:eastAsia="zh-CN"/>
                <w14:textFill>
                  <w14:solidFill>
                    <w14:schemeClr w14:val="tx1"/>
                  </w14:solidFill>
                </w14:textFill>
              </w:rPr>
              <w:t>柔性包装</w:t>
            </w:r>
            <w:r>
              <w:rPr>
                <w:rFonts w:hint="eastAsia"/>
                <w:color w:val="000000" w:themeColor="text1"/>
                <w:szCs w:val="21"/>
                <w:lang w:val="en-US" w:eastAsia="zh-CN"/>
                <w14:textFill>
                  <w14:solidFill>
                    <w14:schemeClr w14:val="tx1"/>
                  </w14:solidFill>
                </w14:textFill>
              </w:rPr>
              <w:t>1</w:t>
            </w:r>
          </w:p>
        </w:tc>
        <w:tc>
          <w:tcPr>
            <w:tcW w:w="921" w:type="dxa"/>
            <w:vMerge w:val="restart"/>
            <w:vAlign w:val="center"/>
          </w:tcPr>
          <w:p w14:paraId="6E48FFD7">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上层</w:t>
            </w:r>
          </w:p>
          <w:p w14:paraId="78571BC5">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胶乳</w:t>
            </w:r>
          </w:p>
        </w:tc>
        <w:tc>
          <w:tcPr>
            <w:tcW w:w="667" w:type="dxa"/>
            <w:vAlign w:val="center"/>
          </w:tcPr>
          <w:p w14:paraId="162B3B79">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1</w:t>
            </w:r>
          </w:p>
        </w:tc>
        <w:tc>
          <w:tcPr>
            <w:tcW w:w="1488" w:type="dxa"/>
            <w:vAlign w:val="center"/>
          </w:tcPr>
          <w:p w14:paraId="1E771A1E">
            <w:pPr>
              <w:widowControl/>
              <w:snapToGrid w:val="0"/>
              <w:jc w:val="center"/>
              <w:textAlignment w:val="center"/>
              <w:rPr>
                <w:rFonts w:hint="default"/>
                <w:color w:val="000000" w:themeColor="text1"/>
                <w:szCs w:val="21"/>
                <w14:textFill>
                  <w14:solidFill>
                    <w14:schemeClr w14:val="tx1"/>
                  </w14:solidFill>
                </w14:textFill>
              </w:rPr>
            </w:pPr>
            <w:r>
              <w:rPr>
                <w:rFonts w:hint="default"/>
                <w:color w:val="000000" w:themeColor="text1"/>
                <w:kern w:val="0"/>
                <w:szCs w:val="21"/>
                <w:lang w:bidi="ar"/>
                <w14:textFill>
                  <w14:solidFill>
                    <w14:schemeClr w14:val="tx1"/>
                  </w14:solidFill>
                </w14:textFill>
              </w:rPr>
              <w:t>60.31</w:t>
            </w:r>
          </w:p>
        </w:tc>
        <w:tc>
          <w:tcPr>
            <w:tcW w:w="844" w:type="dxa"/>
            <w:vMerge w:val="restart"/>
            <w:vAlign w:val="center"/>
          </w:tcPr>
          <w:p w14:paraId="79C568D6">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60.33</w:t>
            </w:r>
          </w:p>
        </w:tc>
        <w:tc>
          <w:tcPr>
            <w:tcW w:w="1392" w:type="dxa"/>
            <w:vMerge w:val="restart"/>
            <w:vAlign w:val="center"/>
          </w:tcPr>
          <w:p w14:paraId="496C712B">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-0.01</w:t>
            </w:r>
          </w:p>
        </w:tc>
        <w:tc>
          <w:tcPr>
            <w:tcW w:w="1394" w:type="dxa"/>
            <w:vMerge w:val="restart"/>
            <w:vAlign w:val="center"/>
          </w:tcPr>
          <w:p w14:paraId="7E9FE7B8">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-0.03</w:t>
            </w:r>
          </w:p>
        </w:tc>
        <w:tc>
          <w:tcPr>
            <w:tcW w:w="1098" w:type="dxa"/>
            <w:vMerge w:val="restart"/>
            <w:vAlign w:val="center"/>
          </w:tcPr>
          <w:p w14:paraId="719D239A">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-0.04</w:t>
            </w:r>
          </w:p>
        </w:tc>
      </w:tr>
      <w:tr w14:paraId="27722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667" w:type="dxa"/>
            <w:vMerge w:val="continue"/>
            <w:vAlign w:val="center"/>
          </w:tcPr>
          <w:p w14:paraId="4C283EBE">
            <w:pPr>
              <w:adjustRightInd w:val="0"/>
              <w:snapToGrid w:val="0"/>
              <w:jc w:val="center"/>
              <w:rPr>
                <w:rFonts w:hint="default"/>
                <w:color w:val="000000" w:themeColor="text1"/>
                <w:szCs w:val="21"/>
                <w14:textFill>
                  <w14:solidFill>
                    <w14:schemeClr w14:val="tx1"/>
                  </w14:solidFill>
                </w14:textFill>
              </w:rPr>
            </w:pPr>
          </w:p>
        </w:tc>
        <w:tc>
          <w:tcPr>
            <w:tcW w:w="921" w:type="dxa"/>
            <w:vMerge w:val="continue"/>
            <w:vAlign w:val="center"/>
          </w:tcPr>
          <w:p w14:paraId="3A40F512">
            <w:pPr>
              <w:adjustRightInd w:val="0"/>
              <w:snapToGrid w:val="0"/>
              <w:jc w:val="center"/>
              <w:rPr>
                <w:rFonts w:hint="default"/>
                <w:color w:val="000000" w:themeColor="text1"/>
                <w:szCs w:val="21"/>
                <w14:textFill>
                  <w14:solidFill>
                    <w14:schemeClr w14:val="tx1"/>
                  </w14:solidFill>
                </w14:textFill>
              </w:rPr>
            </w:pPr>
          </w:p>
        </w:tc>
        <w:tc>
          <w:tcPr>
            <w:tcW w:w="667" w:type="dxa"/>
            <w:vAlign w:val="center"/>
          </w:tcPr>
          <w:p w14:paraId="22AEE958">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2</w:t>
            </w:r>
          </w:p>
        </w:tc>
        <w:tc>
          <w:tcPr>
            <w:tcW w:w="1488" w:type="dxa"/>
            <w:vAlign w:val="center"/>
          </w:tcPr>
          <w:p w14:paraId="75CA5CF6">
            <w:pPr>
              <w:widowControl/>
              <w:snapToGrid w:val="0"/>
              <w:jc w:val="center"/>
              <w:textAlignment w:val="center"/>
              <w:rPr>
                <w:rFonts w:hint="default"/>
                <w:color w:val="000000" w:themeColor="text1"/>
                <w:szCs w:val="21"/>
                <w14:textFill>
                  <w14:solidFill>
                    <w14:schemeClr w14:val="tx1"/>
                  </w14:solidFill>
                </w14:textFill>
              </w:rPr>
            </w:pPr>
            <w:r>
              <w:rPr>
                <w:rFonts w:hint="default"/>
                <w:color w:val="000000" w:themeColor="text1"/>
                <w:kern w:val="0"/>
                <w:szCs w:val="21"/>
                <w:lang w:bidi="ar"/>
                <w14:textFill>
                  <w14:solidFill>
                    <w14:schemeClr w14:val="tx1"/>
                  </w14:solidFill>
                </w14:textFill>
              </w:rPr>
              <w:t>60.35</w:t>
            </w:r>
          </w:p>
        </w:tc>
        <w:tc>
          <w:tcPr>
            <w:tcW w:w="844" w:type="dxa"/>
            <w:vMerge w:val="continue"/>
            <w:vAlign w:val="center"/>
          </w:tcPr>
          <w:p w14:paraId="74E68357">
            <w:pPr>
              <w:adjustRightInd w:val="0"/>
              <w:snapToGrid w:val="0"/>
              <w:jc w:val="center"/>
              <w:rPr>
                <w:rFonts w:hint="default"/>
                <w:color w:val="000000" w:themeColor="text1"/>
                <w:szCs w:val="21"/>
                <w14:textFill>
                  <w14:solidFill>
                    <w14:schemeClr w14:val="tx1"/>
                  </w14:solidFill>
                </w14:textFill>
              </w:rPr>
            </w:pPr>
          </w:p>
        </w:tc>
        <w:tc>
          <w:tcPr>
            <w:tcW w:w="1392" w:type="dxa"/>
            <w:vMerge w:val="continue"/>
            <w:vAlign w:val="center"/>
          </w:tcPr>
          <w:p w14:paraId="36361B50">
            <w:pPr>
              <w:adjustRightInd w:val="0"/>
              <w:snapToGrid w:val="0"/>
              <w:jc w:val="center"/>
              <w:rPr>
                <w:rFonts w:hint="default"/>
                <w:color w:val="000000" w:themeColor="text1"/>
                <w:szCs w:val="21"/>
                <w14:textFill>
                  <w14:solidFill>
                    <w14:schemeClr w14:val="tx1"/>
                  </w14:solidFill>
                </w14:textFill>
              </w:rPr>
            </w:pPr>
          </w:p>
        </w:tc>
        <w:tc>
          <w:tcPr>
            <w:tcW w:w="1394" w:type="dxa"/>
            <w:vMerge w:val="continue"/>
            <w:vAlign w:val="center"/>
          </w:tcPr>
          <w:p w14:paraId="3AE5383E">
            <w:pPr>
              <w:adjustRightInd w:val="0"/>
              <w:snapToGrid w:val="0"/>
              <w:jc w:val="center"/>
              <w:rPr>
                <w:rFonts w:hint="default"/>
                <w:color w:val="000000" w:themeColor="text1"/>
                <w:szCs w:val="21"/>
                <w14:textFill>
                  <w14:solidFill>
                    <w14:schemeClr w14:val="tx1"/>
                  </w14:solidFill>
                </w14:textFill>
              </w:rPr>
            </w:pPr>
          </w:p>
        </w:tc>
        <w:tc>
          <w:tcPr>
            <w:tcW w:w="1098" w:type="dxa"/>
            <w:vMerge w:val="continue"/>
            <w:vAlign w:val="center"/>
          </w:tcPr>
          <w:p w14:paraId="307984A1">
            <w:pPr>
              <w:adjustRightInd w:val="0"/>
              <w:snapToGrid w:val="0"/>
              <w:jc w:val="center"/>
              <w:rPr>
                <w:rFonts w:hint="default"/>
                <w:color w:val="000000" w:themeColor="text1"/>
                <w:szCs w:val="21"/>
                <w14:textFill>
                  <w14:solidFill>
                    <w14:schemeClr w14:val="tx1"/>
                  </w14:solidFill>
                </w14:textFill>
              </w:rPr>
            </w:pPr>
          </w:p>
        </w:tc>
      </w:tr>
      <w:tr w14:paraId="3F728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667" w:type="dxa"/>
            <w:vMerge w:val="continue"/>
            <w:vAlign w:val="center"/>
          </w:tcPr>
          <w:p w14:paraId="35FB482A">
            <w:pPr>
              <w:adjustRightInd w:val="0"/>
              <w:snapToGrid w:val="0"/>
              <w:jc w:val="center"/>
              <w:rPr>
                <w:rFonts w:hint="default"/>
                <w:color w:val="000000" w:themeColor="text1"/>
                <w:szCs w:val="21"/>
                <w14:textFill>
                  <w14:solidFill>
                    <w14:schemeClr w14:val="tx1"/>
                  </w14:solidFill>
                </w14:textFill>
              </w:rPr>
            </w:pPr>
          </w:p>
        </w:tc>
        <w:tc>
          <w:tcPr>
            <w:tcW w:w="921" w:type="dxa"/>
            <w:vMerge w:val="restart"/>
            <w:vAlign w:val="center"/>
          </w:tcPr>
          <w:p w14:paraId="785E26F9">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中层</w:t>
            </w:r>
          </w:p>
          <w:p w14:paraId="4EAA358F">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胶乳</w:t>
            </w:r>
          </w:p>
        </w:tc>
        <w:tc>
          <w:tcPr>
            <w:tcW w:w="667" w:type="dxa"/>
            <w:vAlign w:val="center"/>
          </w:tcPr>
          <w:p w14:paraId="59174423">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1</w:t>
            </w:r>
          </w:p>
        </w:tc>
        <w:tc>
          <w:tcPr>
            <w:tcW w:w="1488" w:type="dxa"/>
            <w:vAlign w:val="center"/>
          </w:tcPr>
          <w:p w14:paraId="499B83E8">
            <w:pPr>
              <w:widowControl/>
              <w:snapToGrid w:val="0"/>
              <w:jc w:val="center"/>
              <w:textAlignment w:val="center"/>
              <w:rPr>
                <w:rFonts w:hint="default"/>
                <w:color w:val="000000" w:themeColor="text1"/>
                <w:szCs w:val="21"/>
                <w14:textFill>
                  <w14:solidFill>
                    <w14:schemeClr w14:val="tx1"/>
                  </w14:solidFill>
                </w14:textFill>
              </w:rPr>
            </w:pPr>
            <w:r>
              <w:rPr>
                <w:rFonts w:hint="default"/>
                <w:color w:val="000000" w:themeColor="text1"/>
                <w:kern w:val="0"/>
                <w:szCs w:val="21"/>
                <w:lang w:bidi="ar"/>
                <w14:textFill>
                  <w14:solidFill>
                    <w14:schemeClr w14:val="tx1"/>
                  </w14:solidFill>
                </w14:textFill>
              </w:rPr>
              <w:t>60.30</w:t>
            </w:r>
          </w:p>
        </w:tc>
        <w:tc>
          <w:tcPr>
            <w:tcW w:w="844" w:type="dxa"/>
            <w:vMerge w:val="restart"/>
            <w:vAlign w:val="center"/>
          </w:tcPr>
          <w:p w14:paraId="50B5C3BB">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60.34</w:t>
            </w:r>
          </w:p>
        </w:tc>
        <w:tc>
          <w:tcPr>
            <w:tcW w:w="1392" w:type="dxa"/>
            <w:vMerge w:val="continue"/>
            <w:vAlign w:val="center"/>
          </w:tcPr>
          <w:p w14:paraId="0661F213">
            <w:pPr>
              <w:adjustRightInd w:val="0"/>
              <w:snapToGrid w:val="0"/>
              <w:jc w:val="center"/>
              <w:rPr>
                <w:rFonts w:hint="default"/>
                <w:color w:val="000000" w:themeColor="text1"/>
                <w:szCs w:val="21"/>
                <w14:textFill>
                  <w14:solidFill>
                    <w14:schemeClr w14:val="tx1"/>
                  </w14:solidFill>
                </w14:textFill>
              </w:rPr>
            </w:pPr>
          </w:p>
        </w:tc>
        <w:tc>
          <w:tcPr>
            <w:tcW w:w="1394" w:type="dxa"/>
            <w:vMerge w:val="continue"/>
            <w:vAlign w:val="center"/>
          </w:tcPr>
          <w:p w14:paraId="676C4B90">
            <w:pPr>
              <w:adjustRightInd w:val="0"/>
              <w:snapToGrid w:val="0"/>
              <w:jc w:val="center"/>
              <w:rPr>
                <w:rFonts w:hint="default"/>
                <w:color w:val="000000" w:themeColor="text1"/>
                <w:szCs w:val="21"/>
                <w14:textFill>
                  <w14:solidFill>
                    <w14:schemeClr w14:val="tx1"/>
                  </w14:solidFill>
                </w14:textFill>
              </w:rPr>
            </w:pPr>
          </w:p>
        </w:tc>
        <w:tc>
          <w:tcPr>
            <w:tcW w:w="1098" w:type="dxa"/>
            <w:vMerge w:val="continue"/>
            <w:vAlign w:val="center"/>
          </w:tcPr>
          <w:p w14:paraId="45304C6A">
            <w:pPr>
              <w:adjustRightInd w:val="0"/>
              <w:snapToGrid w:val="0"/>
              <w:jc w:val="center"/>
              <w:rPr>
                <w:rFonts w:hint="default"/>
                <w:color w:val="000000" w:themeColor="text1"/>
                <w:szCs w:val="21"/>
                <w14:textFill>
                  <w14:solidFill>
                    <w14:schemeClr w14:val="tx1"/>
                  </w14:solidFill>
                </w14:textFill>
              </w:rPr>
            </w:pPr>
          </w:p>
        </w:tc>
      </w:tr>
      <w:tr w14:paraId="7CF65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667" w:type="dxa"/>
            <w:vMerge w:val="continue"/>
            <w:vAlign w:val="center"/>
          </w:tcPr>
          <w:p w14:paraId="60334639">
            <w:pPr>
              <w:adjustRightInd w:val="0"/>
              <w:snapToGrid w:val="0"/>
              <w:jc w:val="center"/>
              <w:rPr>
                <w:rFonts w:hint="default"/>
                <w:color w:val="000000" w:themeColor="text1"/>
                <w:szCs w:val="21"/>
                <w14:textFill>
                  <w14:solidFill>
                    <w14:schemeClr w14:val="tx1"/>
                  </w14:solidFill>
                </w14:textFill>
              </w:rPr>
            </w:pPr>
          </w:p>
        </w:tc>
        <w:tc>
          <w:tcPr>
            <w:tcW w:w="921" w:type="dxa"/>
            <w:vMerge w:val="continue"/>
            <w:vAlign w:val="center"/>
          </w:tcPr>
          <w:p w14:paraId="2AEDB84D">
            <w:pPr>
              <w:adjustRightInd w:val="0"/>
              <w:snapToGrid w:val="0"/>
              <w:jc w:val="center"/>
              <w:rPr>
                <w:rFonts w:hint="default"/>
                <w:color w:val="000000" w:themeColor="text1"/>
                <w:szCs w:val="21"/>
                <w14:textFill>
                  <w14:solidFill>
                    <w14:schemeClr w14:val="tx1"/>
                  </w14:solidFill>
                </w14:textFill>
              </w:rPr>
            </w:pPr>
          </w:p>
        </w:tc>
        <w:tc>
          <w:tcPr>
            <w:tcW w:w="667" w:type="dxa"/>
            <w:vAlign w:val="center"/>
          </w:tcPr>
          <w:p w14:paraId="79C3A861">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2</w:t>
            </w:r>
          </w:p>
        </w:tc>
        <w:tc>
          <w:tcPr>
            <w:tcW w:w="1488" w:type="dxa"/>
            <w:vAlign w:val="center"/>
          </w:tcPr>
          <w:p w14:paraId="00D118C7">
            <w:pPr>
              <w:widowControl/>
              <w:snapToGrid w:val="0"/>
              <w:jc w:val="center"/>
              <w:textAlignment w:val="center"/>
              <w:rPr>
                <w:rFonts w:hint="default"/>
                <w:color w:val="000000" w:themeColor="text1"/>
                <w:szCs w:val="21"/>
                <w14:textFill>
                  <w14:solidFill>
                    <w14:schemeClr w14:val="tx1"/>
                  </w14:solidFill>
                </w14:textFill>
              </w:rPr>
            </w:pPr>
            <w:r>
              <w:rPr>
                <w:rFonts w:hint="default"/>
                <w:color w:val="000000" w:themeColor="text1"/>
                <w:kern w:val="0"/>
                <w:szCs w:val="21"/>
                <w:lang w:bidi="ar"/>
                <w14:textFill>
                  <w14:solidFill>
                    <w14:schemeClr w14:val="tx1"/>
                  </w14:solidFill>
                </w14:textFill>
              </w:rPr>
              <w:t>60.37</w:t>
            </w:r>
          </w:p>
        </w:tc>
        <w:tc>
          <w:tcPr>
            <w:tcW w:w="844" w:type="dxa"/>
            <w:vMerge w:val="continue"/>
            <w:vAlign w:val="center"/>
          </w:tcPr>
          <w:p w14:paraId="01966617">
            <w:pPr>
              <w:adjustRightInd w:val="0"/>
              <w:snapToGrid w:val="0"/>
              <w:jc w:val="center"/>
              <w:rPr>
                <w:rFonts w:hint="default"/>
                <w:color w:val="000000" w:themeColor="text1"/>
                <w:szCs w:val="21"/>
                <w14:textFill>
                  <w14:solidFill>
                    <w14:schemeClr w14:val="tx1"/>
                  </w14:solidFill>
                </w14:textFill>
              </w:rPr>
            </w:pPr>
          </w:p>
        </w:tc>
        <w:tc>
          <w:tcPr>
            <w:tcW w:w="1392" w:type="dxa"/>
            <w:vMerge w:val="continue"/>
            <w:vAlign w:val="center"/>
          </w:tcPr>
          <w:p w14:paraId="206AD370">
            <w:pPr>
              <w:adjustRightInd w:val="0"/>
              <w:snapToGrid w:val="0"/>
              <w:jc w:val="center"/>
              <w:rPr>
                <w:rFonts w:hint="default"/>
                <w:color w:val="000000" w:themeColor="text1"/>
                <w:szCs w:val="21"/>
                <w14:textFill>
                  <w14:solidFill>
                    <w14:schemeClr w14:val="tx1"/>
                  </w14:solidFill>
                </w14:textFill>
              </w:rPr>
            </w:pPr>
          </w:p>
        </w:tc>
        <w:tc>
          <w:tcPr>
            <w:tcW w:w="1394" w:type="dxa"/>
            <w:vMerge w:val="continue"/>
            <w:vAlign w:val="center"/>
          </w:tcPr>
          <w:p w14:paraId="49F0CAFD">
            <w:pPr>
              <w:adjustRightInd w:val="0"/>
              <w:snapToGrid w:val="0"/>
              <w:jc w:val="center"/>
              <w:rPr>
                <w:rFonts w:hint="default"/>
                <w:color w:val="000000" w:themeColor="text1"/>
                <w:szCs w:val="21"/>
                <w14:textFill>
                  <w14:solidFill>
                    <w14:schemeClr w14:val="tx1"/>
                  </w14:solidFill>
                </w14:textFill>
              </w:rPr>
            </w:pPr>
          </w:p>
        </w:tc>
        <w:tc>
          <w:tcPr>
            <w:tcW w:w="1098" w:type="dxa"/>
            <w:vMerge w:val="continue"/>
            <w:vAlign w:val="center"/>
          </w:tcPr>
          <w:p w14:paraId="4A0AF168">
            <w:pPr>
              <w:adjustRightInd w:val="0"/>
              <w:snapToGrid w:val="0"/>
              <w:jc w:val="center"/>
              <w:rPr>
                <w:rFonts w:hint="default"/>
                <w:color w:val="000000" w:themeColor="text1"/>
                <w:szCs w:val="21"/>
                <w14:textFill>
                  <w14:solidFill>
                    <w14:schemeClr w14:val="tx1"/>
                  </w14:solidFill>
                </w14:textFill>
              </w:rPr>
            </w:pPr>
          </w:p>
        </w:tc>
      </w:tr>
      <w:tr w14:paraId="2FDC1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667" w:type="dxa"/>
            <w:vMerge w:val="continue"/>
            <w:vAlign w:val="center"/>
          </w:tcPr>
          <w:p w14:paraId="11245918">
            <w:pPr>
              <w:adjustRightInd w:val="0"/>
              <w:snapToGrid w:val="0"/>
              <w:jc w:val="center"/>
              <w:rPr>
                <w:rFonts w:hint="default"/>
                <w:color w:val="000000" w:themeColor="text1"/>
                <w:szCs w:val="21"/>
                <w14:textFill>
                  <w14:solidFill>
                    <w14:schemeClr w14:val="tx1"/>
                  </w14:solidFill>
                </w14:textFill>
              </w:rPr>
            </w:pPr>
          </w:p>
        </w:tc>
        <w:tc>
          <w:tcPr>
            <w:tcW w:w="921" w:type="dxa"/>
            <w:vMerge w:val="restart"/>
            <w:vAlign w:val="center"/>
          </w:tcPr>
          <w:p w14:paraId="1F9412C6">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下层</w:t>
            </w:r>
          </w:p>
          <w:p w14:paraId="68F462E0">
            <w:pPr>
              <w:adjustRightInd w:val="0"/>
              <w:snapToGrid w:val="0"/>
              <w:ind w:firstLine="210" w:firstLineChars="100"/>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胶乳</w:t>
            </w:r>
          </w:p>
        </w:tc>
        <w:tc>
          <w:tcPr>
            <w:tcW w:w="667" w:type="dxa"/>
            <w:vAlign w:val="center"/>
          </w:tcPr>
          <w:p w14:paraId="3ED53F89">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1</w:t>
            </w:r>
          </w:p>
        </w:tc>
        <w:tc>
          <w:tcPr>
            <w:tcW w:w="1488" w:type="dxa"/>
            <w:vAlign w:val="center"/>
          </w:tcPr>
          <w:p w14:paraId="3BBCA696">
            <w:pPr>
              <w:widowControl/>
              <w:snapToGrid w:val="0"/>
              <w:jc w:val="center"/>
              <w:textAlignment w:val="center"/>
              <w:rPr>
                <w:rFonts w:hint="default"/>
                <w:color w:val="000000" w:themeColor="text1"/>
                <w:szCs w:val="21"/>
                <w14:textFill>
                  <w14:solidFill>
                    <w14:schemeClr w14:val="tx1"/>
                  </w14:solidFill>
                </w14:textFill>
              </w:rPr>
            </w:pPr>
            <w:r>
              <w:rPr>
                <w:rFonts w:hint="default"/>
                <w:color w:val="000000" w:themeColor="text1"/>
                <w:kern w:val="0"/>
                <w:szCs w:val="21"/>
                <w:lang w:bidi="ar"/>
                <w14:textFill>
                  <w14:solidFill>
                    <w14:schemeClr w14:val="tx1"/>
                  </w14:solidFill>
                </w14:textFill>
              </w:rPr>
              <w:t>60.36</w:t>
            </w:r>
          </w:p>
        </w:tc>
        <w:tc>
          <w:tcPr>
            <w:tcW w:w="844" w:type="dxa"/>
            <w:vMerge w:val="restart"/>
            <w:vAlign w:val="center"/>
          </w:tcPr>
          <w:p w14:paraId="296350BC">
            <w:pPr>
              <w:adjustRightInd w:val="0"/>
              <w:snapToGrid w:val="0"/>
              <w:jc w:val="center"/>
              <w:rPr>
                <w:rFonts w:hint="default"/>
                <w:color w:val="000000" w:themeColor="text1"/>
                <w:szCs w:val="21"/>
                <w14:textFill>
                  <w14:solidFill>
                    <w14:schemeClr w14:val="tx1"/>
                  </w14:solidFill>
                </w14:textFill>
              </w:rPr>
            </w:pPr>
          </w:p>
          <w:p w14:paraId="289A7214">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60.37</w:t>
            </w:r>
          </w:p>
        </w:tc>
        <w:tc>
          <w:tcPr>
            <w:tcW w:w="1392" w:type="dxa"/>
            <w:vMerge w:val="continue"/>
            <w:vAlign w:val="center"/>
          </w:tcPr>
          <w:p w14:paraId="085E6510">
            <w:pPr>
              <w:adjustRightInd w:val="0"/>
              <w:snapToGrid w:val="0"/>
              <w:jc w:val="center"/>
              <w:rPr>
                <w:rFonts w:hint="default"/>
                <w:color w:val="000000" w:themeColor="text1"/>
                <w:szCs w:val="21"/>
                <w14:textFill>
                  <w14:solidFill>
                    <w14:schemeClr w14:val="tx1"/>
                  </w14:solidFill>
                </w14:textFill>
              </w:rPr>
            </w:pPr>
          </w:p>
        </w:tc>
        <w:tc>
          <w:tcPr>
            <w:tcW w:w="1394" w:type="dxa"/>
            <w:vMerge w:val="continue"/>
            <w:vAlign w:val="center"/>
          </w:tcPr>
          <w:p w14:paraId="7D095DF2">
            <w:pPr>
              <w:adjustRightInd w:val="0"/>
              <w:snapToGrid w:val="0"/>
              <w:jc w:val="center"/>
              <w:rPr>
                <w:rFonts w:hint="default"/>
                <w:color w:val="000000" w:themeColor="text1"/>
                <w:szCs w:val="21"/>
                <w14:textFill>
                  <w14:solidFill>
                    <w14:schemeClr w14:val="tx1"/>
                  </w14:solidFill>
                </w14:textFill>
              </w:rPr>
            </w:pPr>
          </w:p>
        </w:tc>
        <w:tc>
          <w:tcPr>
            <w:tcW w:w="1098" w:type="dxa"/>
            <w:vMerge w:val="continue"/>
            <w:vAlign w:val="center"/>
          </w:tcPr>
          <w:p w14:paraId="4EDB3D3F">
            <w:pPr>
              <w:adjustRightInd w:val="0"/>
              <w:snapToGrid w:val="0"/>
              <w:jc w:val="center"/>
              <w:rPr>
                <w:rFonts w:hint="default"/>
                <w:color w:val="000000" w:themeColor="text1"/>
                <w:szCs w:val="21"/>
                <w14:textFill>
                  <w14:solidFill>
                    <w14:schemeClr w14:val="tx1"/>
                  </w14:solidFill>
                </w14:textFill>
              </w:rPr>
            </w:pPr>
          </w:p>
        </w:tc>
      </w:tr>
      <w:tr w14:paraId="0283D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344" w:hRule="atLeast"/>
          <w:jc w:val="center"/>
        </w:trPr>
        <w:tc>
          <w:tcPr>
            <w:tcW w:w="667" w:type="dxa"/>
            <w:vMerge w:val="continue"/>
            <w:vAlign w:val="center"/>
          </w:tcPr>
          <w:p w14:paraId="771B5D11">
            <w:pPr>
              <w:adjustRightInd w:val="0"/>
              <w:snapToGrid w:val="0"/>
              <w:jc w:val="center"/>
              <w:rPr>
                <w:rFonts w:hint="default"/>
                <w:color w:val="000000" w:themeColor="text1"/>
                <w:szCs w:val="21"/>
                <w14:textFill>
                  <w14:solidFill>
                    <w14:schemeClr w14:val="tx1"/>
                  </w14:solidFill>
                </w14:textFill>
              </w:rPr>
            </w:pPr>
          </w:p>
        </w:tc>
        <w:tc>
          <w:tcPr>
            <w:tcW w:w="921" w:type="dxa"/>
            <w:vMerge w:val="continue"/>
            <w:vAlign w:val="center"/>
          </w:tcPr>
          <w:p w14:paraId="7ECB6433">
            <w:pPr>
              <w:adjustRightInd w:val="0"/>
              <w:snapToGrid w:val="0"/>
              <w:jc w:val="center"/>
              <w:rPr>
                <w:rFonts w:hint="default"/>
                <w:color w:val="000000" w:themeColor="text1"/>
                <w:szCs w:val="21"/>
                <w14:textFill>
                  <w14:solidFill>
                    <w14:schemeClr w14:val="tx1"/>
                  </w14:solidFill>
                </w14:textFill>
              </w:rPr>
            </w:pPr>
          </w:p>
        </w:tc>
        <w:tc>
          <w:tcPr>
            <w:tcW w:w="667" w:type="dxa"/>
            <w:vAlign w:val="center"/>
          </w:tcPr>
          <w:p w14:paraId="4A677C54">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2</w:t>
            </w:r>
          </w:p>
        </w:tc>
        <w:tc>
          <w:tcPr>
            <w:tcW w:w="1488" w:type="dxa"/>
            <w:vAlign w:val="center"/>
          </w:tcPr>
          <w:p w14:paraId="58A9CB5E">
            <w:pPr>
              <w:widowControl/>
              <w:snapToGrid w:val="0"/>
              <w:jc w:val="center"/>
              <w:textAlignment w:val="center"/>
              <w:rPr>
                <w:rFonts w:hint="default"/>
                <w:color w:val="000000" w:themeColor="text1"/>
                <w:szCs w:val="21"/>
                <w14:textFill>
                  <w14:solidFill>
                    <w14:schemeClr w14:val="tx1"/>
                  </w14:solidFill>
                </w14:textFill>
              </w:rPr>
            </w:pPr>
            <w:r>
              <w:rPr>
                <w:rFonts w:hint="default"/>
                <w:color w:val="000000" w:themeColor="text1"/>
                <w:kern w:val="0"/>
                <w:szCs w:val="21"/>
                <w:lang w:bidi="ar"/>
                <w14:textFill>
                  <w14:solidFill>
                    <w14:schemeClr w14:val="tx1"/>
                  </w14:solidFill>
                </w14:textFill>
              </w:rPr>
              <w:t>60.37</w:t>
            </w:r>
          </w:p>
        </w:tc>
        <w:tc>
          <w:tcPr>
            <w:tcW w:w="844" w:type="dxa"/>
            <w:vMerge w:val="continue"/>
            <w:vAlign w:val="center"/>
          </w:tcPr>
          <w:p w14:paraId="5D485562">
            <w:pPr>
              <w:adjustRightInd w:val="0"/>
              <w:snapToGrid w:val="0"/>
              <w:jc w:val="center"/>
              <w:rPr>
                <w:rFonts w:hint="default"/>
                <w:color w:val="000000" w:themeColor="text1"/>
                <w:szCs w:val="21"/>
                <w14:textFill>
                  <w14:solidFill>
                    <w14:schemeClr w14:val="tx1"/>
                  </w14:solidFill>
                </w14:textFill>
              </w:rPr>
            </w:pPr>
          </w:p>
        </w:tc>
        <w:tc>
          <w:tcPr>
            <w:tcW w:w="1392" w:type="dxa"/>
            <w:vMerge w:val="continue"/>
            <w:vAlign w:val="center"/>
          </w:tcPr>
          <w:p w14:paraId="3AEB76B8">
            <w:pPr>
              <w:adjustRightInd w:val="0"/>
              <w:snapToGrid w:val="0"/>
              <w:jc w:val="center"/>
              <w:rPr>
                <w:rFonts w:hint="default"/>
                <w:color w:val="000000" w:themeColor="text1"/>
                <w:szCs w:val="21"/>
                <w14:textFill>
                  <w14:solidFill>
                    <w14:schemeClr w14:val="tx1"/>
                  </w14:solidFill>
                </w14:textFill>
              </w:rPr>
            </w:pPr>
          </w:p>
        </w:tc>
        <w:tc>
          <w:tcPr>
            <w:tcW w:w="1394" w:type="dxa"/>
            <w:vMerge w:val="continue"/>
            <w:vAlign w:val="center"/>
          </w:tcPr>
          <w:p w14:paraId="47BFB747">
            <w:pPr>
              <w:adjustRightInd w:val="0"/>
              <w:snapToGrid w:val="0"/>
              <w:jc w:val="center"/>
              <w:rPr>
                <w:rFonts w:hint="default"/>
                <w:color w:val="000000" w:themeColor="text1"/>
                <w:szCs w:val="21"/>
                <w14:textFill>
                  <w14:solidFill>
                    <w14:schemeClr w14:val="tx1"/>
                  </w14:solidFill>
                </w14:textFill>
              </w:rPr>
            </w:pPr>
          </w:p>
        </w:tc>
        <w:tc>
          <w:tcPr>
            <w:tcW w:w="1098" w:type="dxa"/>
            <w:vMerge w:val="continue"/>
            <w:vAlign w:val="center"/>
          </w:tcPr>
          <w:p w14:paraId="20257F13">
            <w:pPr>
              <w:adjustRightInd w:val="0"/>
              <w:snapToGrid w:val="0"/>
              <w:jc w:val="center"/>
              <w:rPr>
                <w:rFonts w:hint="default"/>
                <w:color w:val="000000" w:themeColor="text1"/>
                <w:szCs w:val="21"/>
                <w14:textFill>
                  <w14:solidFill>
                    <w14:schemeClr w14:val="tx1"/>
                  </w14:solidFill>
                </w14:textFill>
              </w:rPr>
            </w:pPr>
          </w:p>
        </w:tc>
      </w:tr>
    </w:tbl>
    <w:p w14:paraId="72536192">
      <w:pPr>
        <w:spacing w:line="360" w:lineRule="auto"/>
        <w:jc w:val="center"/>
        <w:rPr>
          <w:b/>
          <w:color w:val="000000" w:themeColor="text1"/>
          <w:sz w:val="24"/>
          <w14:textFill>
            <w14:solidFill>
              <w14:schemeClr w14:val="tx1"/>
            </w14:solidFill>
          </w14:textFill>
        </w:rPr>
      </w:pPr>
    </w:p>
    <w:p w14:paraId="3CA2FC0E">
      <w:pPr>
        <w:spacing w:line="360" w:lineRule="auto"/>
        <w:jc w:val="center"/>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表</w:t>
      </w:r>
      <w:r>
        <w:rPr>
          <w:b/>
          <w:color w:val="000000" w:themeColor="text1"/>
          <w:sz w:val="24"/>
          <w14:textFill>
            <w14:solidFill>
              <w14:schemeClr w14:val="tx1"/>
            </w14:solidFill>
          </w14:textFill>
        </w:rPr>
        <w:t xml:space="preserve">2 </w:t>
      </w:r>
      <w:r>
        <w:rPr>
          <w:rFonts w:hint="eastAsia"/>
          <w:b/>
          <w:color w:val="000000" w:themeColor="text1"/>
          <w:sz w:val="24"/>
          <w:lang w:eastAsia="zh-CN"/>
          <w14:textFill>
            <w14:solidFill>
              <w14:schemeClr w14:val="tx1"/>
            </w14:solidFill>
          </w14:textFill>
        </w:rPr>
        <w:t>柔性包装</w:t>
      </w:r>
      <w:r>
        <w:rPr>
          <w:rFonts w:hint="eastAsia"/>
          <w:b/>
          <w:color w:val="000000" w:themeColor="text1"/>
          <w:sz w:val="24"/>
          <w:lang w:val="en-US" w:eastAsia="zh-CN"/>
          <w14:textFill>
            <w14:solidFill>
              <w14:schemeClr w14:val="tx1"/>
            </w14:solidFill>
          </w14:textFill>
        </w:rPr>
        <w:t>2</w:t>
      </w:r>
      <w:r>
        <w:rPr>
          <w:rFonts w:hint="eastAsia" w:ascii="宋体" w:hAnsi="宋体"/>
          <w:b/>
          <w:color w:val="000000" w:themeColor="text1"/>
          <w:sz w:val="24"/>
          <w14:textFill>
            <w14:solidFill>
              <w14:schemeClr w14:val="tx1"/>
            </w14:solidFill>
          </w14:textFill>
        </w:rPr>
        <w:t>不同位置样品总固物含量测定值</w:t>
      </w:r>
    </w:p>
    <w:p w14:paraId="6CB9E2A6">
      <w:pPr>
        <w:overflowPunct w:val="0"/>
        <w:adjustRightInd w:val="0"/>
        <w:jc w:val="righ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单位：</w:t>
      </w:r>
      <w:r>
        <w:rPr>
          <w:rFonts w:ascii="宋体" w:hAnsi="宋体" w:cs="宋体"/>
          <w:color w:val="000000" w:themeColor="text1"/>
          <w:kern w:val="0"/>
          <w:szCs w:val="21"/>
          <w14:textFill>
            <w14:solidFill>
              <w14:schemeClr w14:val="tx1"/>
            </w14:solidFill>
          </w14:textFill>
        </w:rPr>
        <w:t>%</w:t>
      </w:r>
    </w:p>
    <w:tbl>
      <w:tblPr>
        <w:tblStyle w:val="11"/>
        <w:tblW w:w="84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32" w:type="dxa"/>
          <w:left w:w="64" w:type="dxa"/>
          <w:bottom w:w="32" w:type="dxa"/>
          <w:right w:w="64" w:type="dxa"/>
        </w:tblCellMar>
      </w:tblPr>
      <w:tblGrid>
        <w:gridCol w:w="667"/>
        <w:gridCol w:w="921"/>
        <w:gridCol w:w="667"/>
        <w:gridCol w:w="1488"/>
        <w:gridCol w:w="844"/>
        <w:gridCol w:w="1392"/>
        <w:gridCol w:w="1394"/>
        <w:gridCol w:w="1098"/>
      </w:tblGrid>
      <w:tr w14:paraId="60950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1588" w:type="dxa"/>
            <w:gridSpan w:val="2"/>
            <w:vMerge w:val="restart"/>
            <w:vAlign w:val="center"/>
          </w:tcPr>
          <w:p w14:paraId="5607E3BA">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样品</w:t>
            </w:r>
          </w:p>
        </w:tc>
        <w:tc>
          <w:tcPr>
            <w:tcW w:w="667" w:type="dxa"/>
            <w:vMerge w:val="restart"/>
            <w:vAlign w:val="center"/>
          </w:tcPr>
          <w:p w14:paraId="0ABEBBE6">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测定</w:t>
            </w:r>
          </w:p>
          <w:p w14:paraId="08D45146">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次数</w:t>
            </w:r>
          </w:p>
        </w:tc>
        <w:tc>
          <w:tcPr>
            <w:tcW w:w="6216" w:type="dxa"/>
            <w:gridSpan w:val="5"/>
            <w:vAlign w:val="center"/>
          </w:tcPr>
          <w:p w14:paraId="53227638">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总固体含量（%）</w:t>
            </w:r>
          </w:p>
        </w:tc>
      </w:tr>
      <w:tr w14:paraId="11C81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1588" w:type="dxa"/>
            <w:gridSpan w:val="2"/>
            <w:vMerge w:val="continue"/>
            <w:vAlign w:val="center"/>
          </w:tcPr>
          <w:p w14:paraId="3E7C36BD">
            <w:pPr>
              <w:adjustRightInd w:val="0"/>
              <w:snapToGrid w:val="0"/>
              <w:jc w:val="center"/>
              <w:rPr>
                <w:rFonts w:hint="default"/>
                <w:bCs/>
                <w:color w:val="000000" w:themeColor="text1"/>
                <w:szCs w:val="21"/>
                <w14:textFill>
                  <w14:solidFill>
                    <w14:schemeClr w14:val="tx1"/>
                  </w14:solidFill>
                </w14:textFill>
              </w:rPr>
            </w:pPr>
          </w:p>
        </w:tc>
        <w:tc>
          <w:tcPr>
            <w:tcW w:w="667" w:type="dxa"/>
            <w:vMerge w:val="continue"/>
            <w:vAlign w:val="center"/>
          </w:tcPr>
          <w:p w14:paraId="2E9D4755">
            <w:pPr>
              <w:adjustRightInd w:val="0"/>
              <w:snapToGrid w:val="0"/>
              <w:jc w:val="center"/>
              <w:rPr>
                <w:rFonts w:hint="default"/>
                <w:bCs/>
                <w:color w:val="000000" w:themeColor="text1"/>
                <w:szCs w:val="21"/>
                <w14:textFill>
                  <w14:solidFill>
                    <w14:schemeClr w14:val="tx1"/>
                  </w14:solidFill>
                </w14:textFill>
              </w:rPr>
            </w:pPr>
          </w:p>
        </w:tc>
        <w:tc>
          <w:tcPr>
            <w:tcW w:w="1488" w:type="dxa"/>
            <w:vAlign w:val="center"/>
          </w:tcPr>
          <w:p w14:paraId="3BB27493">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单次测定</w:t>
            </w:r>
          </w:p>
          <w:p w14:paraId="6D03C953">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结果</w:t>
            </w:r>
          </w:p>
        </w:tc>
        <w:tc>
          <w:tcPr>
            <w:tcW w:w="844" w:type="dxa"/>
            <w:vAlign w:val="center"/>
          </w:tcPr>
          <w:p w14:paraId="109349FB">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平均值</w:t>
            </w:r>
          </w:p>
        </w:tc>
        <w:tc>
          <w:tcPr>
            <w:tcW w:w="1392" w:type="dxa"/>
            <w:vAlign w:val="center"/>
          </w:tcPr>
          <w:p w14:paraId="56CEB250">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差值</w:t>
            </w:r>
            <w:r>
              <w:rPr>
                <w:rFonts w:hint="default"/>
                <w:bCs/>
                <w:color w:val="000000" w:themeColor="text1"/>
                <w:szCs w:val="21"/>
                <w:vertAlign w:val="subscript"/>
                <w14:textFill>
                  <w14:solidFill>
                    <w14:schemeClr w14:val="tx1"/>
                  </w14:solidFill>
                </w14:textFill>
              </w:rPr>
              <w:t>（上-中）</w:t>
            </w:r>
          </w:p>
        </w:tc>
        <w:tc>
          <w:tcPr>
            <w:tcW w:w="1394" w:type="dxa"/>
            <w:vAlign w:val="center"/>
          </w:tcPr>
          <w:p w14:paraId="3CF6F6CF">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差值</w:t>
            </w:r>
            <w:r>
              <w:rPr>
                <w:rFonts w:hint="default"/>
                <w:bCs/>
                <w:color w:val="000000" w:themeColor="text1"/>
                <w:szCs w:val="21"/>
                <w:vertAlign w:val="subscript"/>
                <w14:textFill>
                  <w14:solidFill>
                    <w14:schemeClr w14:val="tx1"/>
                  </w14:solidFill>
                </w14:textFill>
              </w:rPr>
              <w:t>（中-下）</w:t>
            </w:r>
          </w:p>
        </w:tc>
        <w:tc>
          <w:tcPr>
            <w:tcW w:w="1098" w:type="dxa"/>
            <w:vAlign w:val="center"/>
          </w:tcPr>
          <w:p w14:paraId="1AC4BA71">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差值</w:t>
            </w:r>
            <w:r>
              <w:rPr>
                <w:rFonts w:hint="default"/>
                <w:bCs/>
                <w:color w:val="000000" w:themeColor="text1"/>
                <w:szCs w:val="21"/>
                <w:vertAlign w:val="subscript"/>
                <w14:textFill>
                  <w14:solidFill>
                    <w14:schemeClr w14:val="tx1"/>
                  </w14:solidFill>
                </w14:textFill>
              </w:rPr>
              <w:t>（上-下）</w:t>
            </w:r>
          </w:p>
        </w:tc>
      </w:tr>
      <w:tr w14:paraId="686CC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667" w:type="dxa"/>
            <w:vMerge w:val="restart"/>
            <w:vAlign w:val="center"/>
          </w:tcPr>
          <w:p w14:paraId="461DEFE0">
            <w:pPr>
              <w:adjustRightInd w:val="0"/>
              <w:snapToGrid w:val="0"/>
              <w:jc w:val="both"/>
              <w:rPr>
                <w:rFonts w:hint="default"/>
                <w:color w:val="000000" w:themeColor="text1"/>
                <w:szCs w:val="21"/>
                <w14:textFill>
                  <w14:solidFill>
                    <w14:schemeClr w14:val="tx1"/>
                  </w14:solidFill>
                </w14:textFill>
              </w:rPr>
            </w:pPr>
            <w:r>
              <w:rPr>
                <w:rFonts w:hint="eastAsia"/>
                <w:color w:val="000000" w:themeColor="text1"/>
                <w:szCs w:val="21"/>
                <w:lang w:eastAsia="zh-CN"/>
                <w14:textFill>
                  <w14:solidFill>
                    <w14:schemeClr w14:val="tx1"/>
                  </w14:solidFill>
                </w14:textFill>
              </w:rPr>
              <w:t>柔性包装</w:t>
            </w:r>
            <w:r>
              <w:rPr>
                <w:rFonts w:hint="eastAsia"/>
                <w:color w:val="000000" w:themeColor="text1"/>
                <w:szCs w:val="21"/>
                <w:lang w:val="en-US" w:eastAsia="zh-CN"/>
                <w14:textFill>
                  <w14:solidFill>
                    <w14:schemeClr w14:val="tx1"/>
                  </w14:solidFill>
                </w14:textFill>
              </w:rPr>
              <w:t>2</w:t>
            </w:r>
          </w:p>
        </w:tc>
        <w:tc>
          <w:tcPr>
            <w:tcW w:w="921" w:type="dxa"/>
            <w:vMerge w:val="restart"/>
            <w:vAlign w:val="center"/>
          </w:tcPr>
          <w:p w14:paraId="770C696B">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上层</w:t>
            </w:r>
          </w:p>
          <w:p w14:paraId="668A11CC">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胶乳</w:t>
            </w:r>
          </w:p>
        </w:tc>
        <w:tc>
          <w:tcPr>
            <w:tcW w:w="667" w:type="dxa"/>
            <w:vAlign w:val="center"/>
          </w:tcPr>
          <w:p w14:paraId="389D6D5D">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1</w:t>
            </w:r>
          </w:p>
        </w:tc>
        <w:tc>
          <w:tcPr>
            <w:tcW w:w="1488" w:type="dxa"/>
            <w:vAlign w:val="center"/>
          </w:tcPr>
          <w:p w14:paraId="7A8435DA">
            <w:pPr>
              <w:widowControl/>
              <w:snapToGrid w:val="0"/>
              <w:jc w:val="center"/>
              <w:textAlignment w:val="center"/>
              <w:rPr>
                <w:rFonts w:hint="default"/>
                <w:color w:val="000000" w:themeColor="text1"/>
                <w:szCs w:val="21"/>
                <w14:textFill>
                  <w14:solidFill>
                    <w14:schemeClr w14:val="tx1"/>
                  </w14:solidFill>
                </w14:textFill>
              </w:rPr>
            </w:pPr>
            <w:r>
              <w:rPr>
                <w:rFonts w:hint="default"/>
                <w:color w:val="000000" w:themeColor="text1"/>
                <w:kern w:val="0"/>
                <w:szCs w:val="21"/>
                <w:lang w:bidi="ar"/>
                <w14:textFill>
                  <w14:solidFill>
                    <w14:schemeClr w14:val="tx1"/>
                  </w14:solidFill>
                </w14:textFill>
              </w:rPr>
              <w:t>60.40</w:t>
            </w:r>
          </w:p>
        </w:tc>
        <w:tc>
          <w:tcPr>
            <w:tcW w:w="844" w:type="dxa"/>
            <w:vMerge w:val="restart"/>
            <w:vAlign w:val="center"/>
          </w:tcPr>
          <w:p w14:paraId="7CE46450">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kern w:val="0"/>
                <w:szCs w:val="21"/>
                <w:lang w:bidi="ar"/>
                <w14:textFill>
                  <w14:solidFill>
                    <w14:schemeClr w14:val="tx1"/>
                  </w14:solidFill>
                </w14:textFill>
              </w:rPr>
              <w:t>60.40</w:t>
            </w:r>
          </w:p>
        </w:tc>
        <w:tc>
          <w:tcPr>
            <w:tcW w:w="1392" w:type="dxa"/>
            <w:vMerge w:val="restart"/>
            <w:vAlign w:val="center"/>
          </w:tcPr>
          <w:p w14:paraId="3E0C3F01">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-0.03</w:t>
            </w:r>
          </w:p>
        </w:tc>
        <w:tc>
          <w:tcPr>
            <w:tcW w:w="1394" w:type="dxa"/>
            <w:vMerge w:val="restart"/>
            <w:vAlign w:val="center"/>
          </w:tcPr>
          <w:p w14:paraId="755CA72A">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-0.01</w:t>
            </w:r>
          </w:p>
        </w:tc>
        <w:tc>
          <w:tcPr>
            <w:tcW w:w="1098" w:type="dxa"/>
            <w:vMerge w:val="restart"/>
            <w:vAlign w:val="center"/>
          </w:tcPr>
          <w:p w14:paraId="0A15C4AE">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-0.04</w:t>
            </w:r>
          </w:p>
        </w:tc>
      </w:tr>
      <w:tr w14:paraId="43ED7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667" w:type="dxa"/>
            <w:vMerge w:val="continue"/>
            <w:vAlign w:val="center"/>
          </w:tcPr>
          <w:p w14:paraId="6CC3ED76">
            <w:pPr>
              <w:adjustRightInd w:val="0"/>
              <w:snapToGrid w:val="0"/>
              <w:jc w:val="center"/>
              <w:rPr>
                <w:rFonts w:hint="default"/>
                <w:color w:val="000000" w:themeColor="text1"/>
                <w:szCs w:val="21"/>
                <w14:textFill>
                  <w14:solidFill>
                    <w14:schemeClr w14:val="tx1"/>
                  </w14:solidFill>
                </w14:textFill>
              </w:rPr>
            </w:pPr>
          </w:p>
        </w:tc>
        <w:tc>
          <w:tcPr>
            <w:tcW w:w="921" w:type="dxa"/>
            <w:vMerge w:val="continue"/>
            <w:vAlign w:val="center"/>
          </w:tcPr>
          <w:p w14:paraId="5F6F7444">
            <w:pPr>
              <w:adjustRightInd w:val="0"/>
              <w:snapToGrid w:val="0"/>
              <w:jc w:val="center"/>
              <w:rPr>
                <w:rFonts w:hint="default"/>
                <w:color w:val="000000" w:themeColor="text1"/>
                <w:szCs w:val="21"/>
                <w14:textFill>
                  <w14:solidFill>
                    <w14:schemeClr w14:val="tx1"/>
                  </w14:solidFill>
                </w14:textFill>
              </w:rPr>
            </w:pPr>
          </w:p>
        </w:tc>
        <w:tc>
          <w:tcPr>
            <w:tcW w:w="667" w:type="dxa"/>
            <w:vAlign w:val="center"/>
          </w:tcPr>
          <w:p w14:paraId="01F800B7">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2</w:t>
            </w:r>
          </w:p>
        </w:tc>
        <w:tc>
          <w:tcPr>
            <w:tcW w:w="1488" w:type="dxa"/>
            <w:vAlign w:val="center"/>
          </w:tcPr>
          <w:p w14:paraId="2DC4CE7D">
            <w:pPr>
              <w:widowControl/>
              <w:snapToGrid w:val="0"/>
              <w:jc w:val="center"/>
              <w:textAlignment w:val="center"/>
              <w:rPr>
                <w:rFonts w:hint="default"/>
                <w:color w:val="000000" w:themeColor="text1"/>
                <w:szCs w:val="21"/>
                <w14:textFill>
                  <w14:solidFill>
                    <w14:schemeClr w14:val="tx1"/>
                  </w14:solidFill>
                </w14:textFill>
              </w:rPr>
            </w:pPr>
            <w:r>
              <w:rPr>
                <w:rFonts w:hint="default"/>
                <w:color w:val="000000" w:themeColor="text1"/>
                <w:kern w:val="0"/>
                <w:szCs w:val="21"/>
                <w:lang w:bidi="ar"/>
                <w14:textFill>
                  <w14:solidFill>
                    <w14:schemeClr w14:val="tx1"/>
                  </w14:solidFill>
                </w14:textFill>
              </w:rPr>
              <w:t>60.40</w:t>
            </w:r>
          </w:p>
        </w:tc>
        <w:tc>
          <w:tcPr>
            <w:tcW w:w="844" w:type="dxa"/>
            <w:vMerge w:val="continue"/>
            <w:vAlign w:val="center"/>
          </w:tcPr>
          <w:p w14:paraId="4EA645E6">
            <w:pPr>
              <w:adjustRightInd w:val="0"/>
              <w:snapToGrid w:val="0"/>
              <w:jc w:val="center"/>
              <w:rPr>
                <w:rFonts w:hint="default"/>
                <w:color w:val="000000" w:themeColor="text1"/>
                <w:szCs w:val="21"/>
                <w14:textFill>
                  <w14:solidFill>
                    <w14:schemeClr w14:val="tx1"/>
                  </w14:solidFill>
                </w14:textFill>
              </w:rPr>
            </w:pPr>
          </w:p>
        </w:tc>
        <w:tc>
          <w:tcPr>
            <w:tcW w:w="1392" w:type="dxa"/>
            <w:vMerge w:val="continue"/>
            <w:vAlign w:val="center"/>
          </w:tcPr>
          <w:p w14:paraId="78B796BF">
            <w:pPr>
              <w:adjustRightInd w:val="0"/>
              <w:snapToGrid w:val="0"/>
              <w:jc w:val="center"/>
              <w:rPr>
                <w:rFonts w:hint="default"/>
                <w:color w:val="000000" w:themeColor="text1"/>
                <w:szCs w:val="21"/>
                <w14:textFill>
                  <w14:solidFill>
                    <w14:schemeClr w14:val="tx1"/>
                  </w14:solidFill>
                </w14:textFill>
              </w:rPr>
            </w:pPr>
          </w:p>
        </w:tc>
        <w:tc>
          <w:tcPr>
            <w:tcW w:w="1394" w:type="dxa"/>
            <w:vMerge w:val="continue"/>
            <w:vAlign w:val="center"/>
          </w:tcPr>
          <w:p w14:paraId="539F436D">
            <w:pPr>
              <w:adjustRightInd w:val="0"/>
              <w:snapToGrid w:val="0"/>
              <w:jc w:val="center"/>
              <w:rPr>
                <w:rFonts w:hint="default"/>
                <w:color w:val="000000" w:themeColor="text1"/>
                <w:szCs w:val="21"/>
                <w14:textFill>
                  <w14:solidFill>
                    <w14:schemeClr w14:val="tx1"/>
                  </w14:solidFill>
                </w14:textFill>
              </w:rPr>
            </w:pPr>
          </w:p>
        </w:tc>
        <w:tc>
          <w:tcPr>
            <w:tcW w:w="1098" w:type="dxa"/>
            <w:vMerge w:val="continue"/>
            <w:vAlign w:val="center"/>
          </w:tcPr>
          <w:p w14:paraId="04BF5D80">
            <w:pPr>
              <w:adjustRightInd w:val="0"/>
              <w:snapToGrid w:val="0"/>
              <w:jc w:val="center"/>
              <w:rPr>
                <w:rFonts w:hint="default"/>
                <w:color w:val="000000" w:themeColor="text1"/>
                <w:szCs w:val="21"/>
                <w14:textFill>
                  <w14:solidFill>
                    <w14:schemeClr w14:val="tx1"/>
                  </w14:solidFill>
                </w14:textFill>
              </w:rPr>
            </w:pPr>
          </w:p>
        </w:tc>
      </w:tr>
      <w:tr w14:paraId="19B00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667" w:type="dxa"/>
            <w:vMerge w:val="continue"/>
            <w:vAlign w:val="center"/>
          </w:tcPr>
          <w:p w14:paraId="75148ACF">
            <w:pPr>
              <w:adjustRightInd w:val="0"/>
              <w:snapToGrid w:val="0"/>
              <w:jc w:val="center"/>
              <w:rPr>
                <w:rFonts w:hint="default"/>
                <w:color w:val="000000" w:themeColor="text1"/>
                <w:szCs w:val="21"/>
                <w14:textFill>
                  <w14:solidFill>
                    <w14:schemeClr w14:val="tx1"/>
                  </w14:solidFill>
                </w14:textFill>
              </w:rPr>
            </w:pPr>
          </w:p>
        </w:tc>
        <w:tc>
          <w:tcPr>
            <w:tcW w:w="921" w:type="dxa"/>
            <w:vMerge w:val="restart"/>
            <w:vAlign w:val="center"/>
          </w:tcPr>
          <w:p w14:paraId="57A7E3AE">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中层</w:t>
            </w:r>
          </w:p>
          <w:p w14:paraId="30114B29">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胶乳</w:t>
            </w:r>
          </w:p>
        </w:tc>
        <w:tc>
          <w:tcPr>
            <w:tcW w:w="667" w:type="dxa"/>
            <w:vAlign w:val="center"/>
          </w:tcPr>
          <w:p w14:paraId="322C84FA">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1</w:t>
            </w:r>
          </w:p>
        </w:tc>
        <w:tc>
          <w:tcPr>
            <w:tcW w:w="1488" w:type="dxa"/>
            <w:vAlign w:val="center"/>
          </w:tcPr>
          <w:p w14:paraId="2EE96061">
            <w:pPr>
              <w:widowControl/>
              <w:snapToGrid w:val="0"/>
              <w:jc w:val="center"/>
              <w:textAlignment w:val="center"/>
              <w:rPr>
                <w:rFonts w:hint="default"/>
                <w:color w:val="000000" w:themeColor="text1"/>
                <w:szCs w:val="21"/>
                <w14:textFill>
                  <w14:solidFill>
                    <w14:schemeClr w14:val="tx1"/>
                  </w14:solidFill>
                </w14:textFill>
              </w:rPr>
            </w:pPr>
            <w:r>
              <w:rPr>
                <w:rFonts w:hint="default"/>
                <w:color w:val="000000" w:themeColor="text1"/>
                <w:kern w:val="0"/>
                <w:szCs w:val="21"/>
                <w:lang w:bidi="ar"/>
                <w14:textFill>
                  <w14:solidFill>
                    <w14:schemeClr w14:val="tx1"/>
                  </w14:solidFill>
                </w14:textFill>
              </w:rPr>
              <w:t>60.39</w:t>
            </w:r>
          </w:p>
        </w:tc>
        <w:tc>
          <w:tcPr>
            <w:tcW w:w="844" w:type="dxa"/>
            <w:vMerge w:val="restart"/>
            <w:vAlign w:val="center"/>
          </w:tcPr>
          <w:p w14:paraId="1F169B6F">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60.43</w:t>
            </w:r>
          </w:p>
        </w:tc>
        <w:tc>
          <w:tcPr>
            <w:tcW w:w="1392" w:type="dxa"/>
            <w:vMerge w:val="continue"/>
            <w:vAlign w:val="center"/>
          </w:tcPr>
          <w:p w14:paraId="7CACD8A1">
            <w:pPr>
              <w:adjustRightInd w:val="0"/>
              <w:snapToGrid w:val="0"/>
              <w:jc w:val="center"/>
              <w:rPr>
                <w:rFonts w:hint="default"/>
                <w:color w:val="000000" w:themeColor="text1"/>
                <w:szCs w:val="21"/>
                <w14:textFill>
                  <w14:solidFill>
                    <w14:schemeClr w14:val="tx1"/>
                  </w14:solidFill>
                </w14:textFill>
              </w:rPr>
            </w:pPr>
          </w:p>
        </w:tc>
        <w:tc>
          <w:tcPr>
            <w:tcW w:w="1394" w:type="dxa"/>
            <w:vMerge w:val="continue"/>
            <w:vAlign w:val="center"/>
          </w:tcPr>
          <w:p w14:paraId="136EF98A">
            <w:pPr>
              <w:adjustRightInd w:val="0"/>
              <w:snapToGrid w:val="0"/>
              <w:jc w:val="center"/>
              <w:rPr>
                <w:rFonts w:hint="default"/>
                <w:color w:val="000000" w:themeColor="text1"/>
                <w:szCs w:val="21"/>
                <w14:textFill>
                  <w14:solidFill>
                    <w14:schemeClr w14:val="tx1"/>
                  </w14:solidFill>
                </w14:textFill>
              </w:rPr>
            </w:pPr>
          </w:p>
        </w:tc>
        <w:tc>
          <w:tcPr>
            <w:tcW w:w="1098" w:type="dxa"/>
            <w:vMerge w:val="continue"/>
            <w:vAlign w:val="center"/>
          </w:tcPr>
          <w:p w14:paraId="74045264">
            <w:pPr>
              <w:adjustRightInd w:val="0"/>
              <w:snapToGrid w:val="0"/>
              <w:jc w:val="center"/>
              <w:rPr>
                <w:rFonts w:hint="default"/>
                <w:color w:val="000000" w:themeColor="text1"/>
                <w:szCs w:val="21"/>
                <w14:textFill>
                  <w14:solidFill>
                    <w14:schemeClr w14:val="tx1"/>
                  </w14:solidFill>
                </w14:textFill>
              </w:rPr>
            </w:pPr>
          </w:p>
        </w:tc>
      </w:tr>
      <w:tr w14:paraId="2C8BF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667" w:type="dxa"/>
            <w:vMerge w:val="continue"/>
            <w:vAlign w:val="center"/>
          </w:tcPr>
          <w:p w14:paraId="0EB6313E">
            <w:pPr>
              <w:adjustRightInd w:val="0"/>
              <w:snapToGrid w:val="0"/>
              <w:jc w:val="center"/>
              <w:rPr>
                <w:rFonts w:hint="default"/>
                <w:color w:val="000000" w:themeColor="text1"/>
                <w:szCs w:val="21"/>
                <w14:textFill>
                  <w14:solidFill>
                    <w14:schemeClr w14:val="tx1"/>
                  </w14:solidFill>
                </w14:textFill>
              </w:rPr>
            </w:pPr>
          </w:p>
        </w:tc>
        <w:tc>
          <w:tcPr>
            <w:tcW w:w="921" w:type="dxa"/>
            <w:vMerge w:val="continue"/>
            <w:vAlign w:val="center"/>
          </w:tcPr>
          <w:p w14:paraId="4F204FC1">
            <w:pPr>
              <w:adjustRightInd w:val="0"/>
              <w:snapToGrid w:val="0"/>
              <w:jc w:val="center"/>
              <w:rPr>
                <w:rFonts w:hint="default"/>
                <w:color w:val="000000" w:themeColor="text1"/>
                <w:szCs w:val="21"/>
                <w14:textFill>
                  <w14:solidFill>
                    <w14:schemeClr w14:val="tx1"/>
                  </w14:solidFill>
                </w14:textFill>
              </w:rPr>
            </w:pPr>
          </w:p>
        </w:tc>
        <w:tc>
          <w:tcPr>
            <w:tcW w:w="667" w:type="dxa"/>
            <w:vAlign w:val="center"/>
          </w:tcPr>
          <w:p w14:paraId="217F497D">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2</w:t>
            </w:r>
          </w:p>
        </w:tc>
        <w:tc>
          <w:tcPr>
            <w:tcW w:w="1488" w:type="dxa"/>
            <w:vAlign w:val="center"/>
          </w:tcPr>
          <w:p w14:paraId="528C2CE2">
            <w:pPr>
              <w:widowControl/>
              <w:snapToGrid w:val="0"/>
              <w:jc w:val="center"/>
              <w:textAlignment w:val="center"/>
              <w:rPr>
                <w:rFonts w:hint="default"/>
                <w:color w:val="000000" w:themeColor="text1"/>
                <w:szCs w:val="21"/>
                <w14:textFill>
                  <w14:solidFill>
                    <w14:schemeClr w14:val="tx1"/>
                  </w14:solidFill>
                </w14:textFill>
              </w:rPr>
            </w:pPr>
            <w:r>
              <w:rPr>
                <w:rFonts w:hint="default"/>
                <w:color w:val="000000" w:themeColor="text1"/>
                <w:kern w:val="0"/>
                <w:szCs w:val="21"/>
                <w:lang w:bidi="ar"/>
                <w14:textFill>
                  <w14:solidFill>
                    <w14:schemeClr w14:val="tx1"/>
                  </w14:solidFill>
                </w14:textFill>
              </w:rPr>
              <w:t>60.44</w:t>
            </w:r>
          </w:p>
        </w:tc>
        <w:tc>
          <w:tcPr>
            <w:tcW w:w="844" w:type="dxa"/>
            <w:vMerge w:val="continue"/>
            <w:vAlign w:val="center"/>
          </w:tcPr>
          <w:p w14:paraId="0F090005">
            <w:pPr>
              <w:adjustRightInd w:val="0"/>
              <w:snapToGrid w:val="0"/>
              <w:jc w:val="center"/>
              <w:rPr>
                <w:rFonts w:hint="default"/>
                <w:color w:val="000000" w:themeColor="text1"/>
                <w:szCs w:val="21"/>
                <w14:textFill>
                  <w14:solidFill>
                    <w14:schemeClr w14:val="tx1"/>
                  </w14:solidFill>
                </w14:textFill>
              </w:rPr>
            </w:pPr>
          </w:p>
        </w:tc>
        <w:tc>
          <w:tcPr>
            <w:tcW w:w="1392" w:type="dxa"/>
            <w:vMerge w:val="continue"/>
            <w:vAlign w:val="center"/>
          </w:tcPr>
          <w:p w14:paraId="1D2CC7EF">
            <w:pPr>
              <w:adjustRightInd w:val="0"/>
              <w:snapToGrid w:val="0"/>
              <w:jc w:val="center"/>
              <w:rPr>
                <w:rFonts w:hint="default"/>
                <w:color w:val="000000" w:themeColor="text1"/>
                <w:szCs w:val="21"/>
                <w14:textFill>
                  <w14:solidFill>
                    <w14:schemeClr w14:val="tx1"/>
                  </w14:solidFill>
                </w14:textFill>
              </w:rPr>
            </w:pPr>
          </w:p>
        </w:tc>
        <w:tc>
          <w:tcPr>
            <w:tcW w:w="1394" w:type="dxa"/>
            <w:vMerge w:val="continue"/>
            <w:vAlign w:val="center"/>
          </w:tcPr>
          <w:p w14:paraId="486483E4">
            <w:pPr>
              <w:adjustRightInd w:val="0"/>
              <w:snapToGrid w:val="0"/>
              <w:jc w:val="center"/>
              <w:rPr>
                <w:rFonts w:hint="default"/>
                <w:color w:val="000000" w:themeColor="text1"/>
                <w:szCs w:val="21"/>
                <w14:textFill>
                  <w14:solidFill>
                    <w14:schemeClr w14:val="tx1"/>
                  </w14:solidFill>
                </w14:textFill>
              </w:rPr>
            </w:pPr>
          </w:p>
        </w:tc>
        <w:tc>
          <w:tcPr>
            <w:tcW w:w="1098" w:type="dxa"/>
            <w:vMerge w:val="continue"/>
            <w:vAlign w:val="center"/>
          </w:tcPr>
          <w:p w14:paraId="68A0CA72">
            <w:pPr>
              <w:adjustRightInd w:val="0"/>
              <w:snapToGrid w:val="0"/>
              <w:jc w:val="center"/>
              <w:rPr>
                <w:rFonts w:hint="default"/>
                <w:color w:val="000000" w:themeColor="text1"/>
                <w:szCs w:val="21"/>
                <w14:textFill>
                  <w14:solidFill>
                    <w14:schemeClr w14:val="tx1"/>
                  </w14:solidFill>
                </w14:textFill>
              </w:rPr>
            </w:pPr>
          </w:p>
        </w:tc>
      </w:tr>
      <w:tr w14:paraId="7F277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667" w:type="dxa"/>
            <w:vMerge w:val="continue"/>
            <w:vAlign w:val="center"/>
          </w:tcPr>
          <w:p w14:paraId="0DE52DAB">
            <w:pPr>
              <w:adjustRightInd w:val="0"/>
              <w:snapToGrid w:val="0"/>
              <w:jc w:val="center"/>
              <w:rPr>
                <w:rFonts w:hint="default"/>
                <w:color w:val="000000" w:themeColor="text1"/>
                <w:szCs w:val="21"/>
                <w14:textFill>
                  <w14:solidFill>
                    <w14:schemeClr w14:val="tx1"/>
                  </w14:solidFill>
                </w14:textFill>
              </w:rPr>
            </w:pPr>
          </w:p>
        </w:tc>
        <w:tc>
          <w:tcPr>
            <w:tcW w:w="921" w:type="dxa"/>
            <w:vMerge w:val="restart"/>
            <w:vAlign w:val="center"/>
          </w:tcPr>
          <w:p w14:paraId="157CD9C7">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下层</w:t>
            </w:r>
          </w:p>
          <w:p w14:paraId="24B24C14">
            <w:pPr>
              <w:adjustRightInd w:val="0"/>
              <w:snapToGrid w:val="0"/>
              <w:ind w:firstLine="210" w:firstLineChars="100"/>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胶乳</w:t>
            </w:r>
          </w:p>
        </w:tc>
        <w:tc>
          <w:tcPr>
            <w:tcW w:w="667" w:type="dxa"/>
            <w:vAlign w:val="center"/>
          </w:tcPr>
          <w:p w14:paraId="4FC1B56F">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1</w:t>
            </w:r>
          </w:p>
        </w:tc>
        <w:tc>
          <w:tcPr>
            <w:tcW w:w="1488" w:type="dxa"/>
            <w:vAlign w:val="center"/>
          </w:tcPr>
          <w:p w14:paraId="2DAAC90C">
            <w:pPr>
              <w:widowControl/>
              <w:snapToGrid w:val="0"/>
              <w:jc w:val="center"/>
              <w:textAlignment w:val="center"/>
              <w:rPr>
                <w:rFonts w:hint="default"/>
                <w:color w:val="000000" w:themeColor="text1"/>
                <w:szCs w:val="21"/>
                <w14:textFill>
                  <w14:solidFill>
                    <w14:schemeClr w14:val="tx1"/>
                  </w14:solidFill>
                </w14:textFill>
              </w:rPr>
            </w:pPr>
            <w:r>
              <w:rPr>
                <w:rFonts w:hint="default"/>
                <w:color w:val="000000" w:themeColor="text1"/>
                <w:kern w:val="0"/>
                <w:szCs w:val="21"/>
                <w:lang w:bidi="ar"/>
                <w14:textFill>
                  <w14:solidFill>
                    <w14:schemeClr w14:val="tx1"/>
                  </w14:solidFill>
                </w14:textFill>
              </w:rPr>
              <w:t>60.46</w:t>
            </w:r>
          </w:p>
        </w:tc>
        <w:tc>
          <w:tcPr>
            <w:tcW w:w="844" w:type="dxa"/>
            <w:vMerge w:val="restart"/>
            <w:vAlign w:val="center"/>
          </w:tcPr>
          <w:p w14:paraId="6FAE1344">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60.44</w:t>
            </w:r>
          </w:p>
        </w:tc>
        <w:tc>
          <w:tcPr>
            <w:tcW w:w="1392" w:type="dxa"/>
            <w:vMerge w:val="continue"/>
            <w:vAlign w:val="center"/>
          </w:tcPr>
          <w:p w14:paraId="5A493292">
            <w:pPr>
              <w:adjustRightInd w:val="0"/>
              <w:snapToGrid w:val="0"/>
              <w:jc w:val="center"/>
              <w:rPr>
                <w:rFonts w:hint="default"/>
                <w:color w:val="000000" w:themeColor="text1"/>
                <w:szCs w:val="21"/>
                <w14:textFill>
                  <w14:solidFill>
                    <w14:schemeClr w14:val="tx1"/>
                  </w14:solidFill>
                </w14:textFill>
              </w:rPr>
            </w:pPr>
          </w:p>
        </w:tc>
        <w:tc>
          <w:tcPr>
            <w:tcW w:w="1394" w:type="dxa"/>
            <w:vMerge w:val="continue"/>
            <w:vAlign w:val="center"/>
          </w:tcPr>
          <w:p w14:paraId="1951C86C">
            <w:pPr>
              <w:adjustRightInd w:val="0"/>
              <w:snapToGrid w:val="0"/>
              <w:jc w:val="center"/>
              <w:rPr>
                <w:rFonts w:hint="default"/>
                <w:color w:val="000000" w:themeColor="text1"/>
                <w:szCs w:val="21"/>
                <w14:textFill>
                  <w14:solidFill>
                    <w14:schemeClr w14:val="tx1"/>
                  </w14:solidFill>
                </w14:textFill>
              </w:rPr>
            </w:pPr>
          </w:p>
        </w:tc>
        <w:tc>
          <w:tcPr>
            <w:tcW w:w="1098" w:type="dxa"/>
            <w:vMerge w:val="continue"/>
            <w:vAlign w:val="center"/>
          </w:tcPr>
          <w:p w14:paraId="578350A4">
            <w:pPr>
              <w:adjustRightInd w:val="0"/>
              <w:snapToGrid w:val="0"/>
              <w:jc w:val="center"/>
              <w:rPr>
                <w:rFonts w:hint="default"/>
                <w:color w:val="000000" w:themeColor="text1"/>
                <w:szCs w:val="21"/>
                <w14:textFill>
                  <w14:solidFill>
                    <w14:schemeClr w14:val="tx1"/>
                  </w14:solidFill>
                </w14:textFill>
              </w:rPr>
            </w:pPr>
          </w:p>
        </w:tc>
      </w:tr>
      <w:tr w14:paraId="4B9A0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344" w:hRule="atLeast"/>
          <w:jc w:val="center"/>
        </w:trPr>
        <w:tc>
          <w:tcPr>
            <w:tcW w:w="667" w:type="dxa"/>
            <w:vMerge w:val="continue"/>
            <w:vAlign w:val="center"/>
          </w:tcPr>
          <w:p w14:paraId="61446EB9">
            <w:pPr>
              <w:adjustRightInd w:val="0"/>
              <w:snapToGrid w:val="0"/>
              <w:jc w:val="center"/>
              <w:rPr>
                <w:rFonts w:hint="default"/>
                <w:color w:val="000000" w:themeColor="text1"/>
                <w:szCs w:val="21"/>
                <w14:textFill>
                  <w14:solidFill>
                    <w14:schemeClr w14:val="tx1"/>
                  </w14:solidFill>
                </w14:textFill>
              </w:rPr>
            </w:pPr>
          </w:p>
        </w:tc>
        <w:tc>
          <w:tcPr>
            <w:tcW w:w="921" w:type="dxa"/>
            <w:vMerge w:val="continue"/>
            <w:vAlign w:val="center"/>
          </w:tcPr>
          <w:p w14:paraId="2B5FFBB1">
            <w:pPr>
              <w:adjustRightInd w:val="0"/>
              <w:snapToGrid w:val="0"/>
              <w:jc w:val="center"/>
              <w:rPr>
                <w:rFonts w:hint="default"/>
                <w:color w:val="000000" w:themeColor="text1"/>
                <w:szCs w:val="21"/>
                <w14:textFill>
                  <w14:solidFill>
                    <w14:schemeClr w14:val="tx1"/>
                  </w14:solidFill>
                </w14:textFill>
              </w:rPr>
            </w:pPr>
          </w:p>
        </w:tc>
        <w:tc>
          <w:tcPr>
            <w:tcW w:w="667" w:type="dxa"/>
            <w:vAlign w:val="center"/>
          </w:tcPr>
          <w:p w14:paraId="2F9A9A9F">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2</w:t>
            </w:r>
          </w:p>
        </w:tc>
        <w:tc>
          <w:tcPr>
            <w:tcW w:w="1488" w:type="dxa"/>
            <w:vAlign w:val="center"/>
          </w:tcPr>
          <w:p w14:paraId="2D81CE0C">
            <w:pPr>
              <w:widowControl/>
              <w:snapToGrid w:val="0"/>
              <w:jc w:val="center"/>
              <w:textAlignment w:val="center"/>
              <w:rPr>
                <w:rFonts w:hint="default"/>
                <w:color w:val="000000" w:themeColor="text1"/>
                <w:szCs w:val="21"/>
                <w14:textFill>
                  <w14:solidFill>
                    <w14:schemeClr w14:val="tx1"/>
                  </w14:solidFill>
                </w14:textFill>
              </w:rPr>
            </w:pPr>
            <w:r>
              <w:rPr>
                <w:rFonts w:hint="default"/>
                <w:color w:val="000000" w:themeColor="text1"/>
                <w:kern w:val="0"/>
                <w:szCs w:val="21"/>
                <w:lang w:bidi="ar"/>
                <w14:textFill>
                  <w14:solidFill>
                    <w14:schemeClr w14:val="tx1"/>
                  </w14:solidFill>
                </w14:textFill>
              </w:rPr>
              <w:t>60.41</w:t>
            </w:r>
          </w:p>
        </w:tc>
        <w:tc>
          <w:tcPr>
            <w:tcW w:w="844" w:type="dxa"/>
            <w:vMerge w:val="continue"/>
            <w:vAlign w:val="center"/>
          </w:tcPr>
          <w:p w14:paraId="33C2AA28">
            <w:pPr>
              <w:adjustRightInd w:val="0"/>
              <w:snapToGrid w:val="0"/>
              <w:jc w:val="center"/>
              <w:rPr>
                <w:rFonts w:hint="default"/>
                <w:color w:val="000000" w:themeColor="text1"/>
                <w:szCs w:val="21"/>
                <w14:textFill>
                  <w14:solidFill>
                    <w14:schemeClr w14:val="tx1"/>
                  </w14:solidFill>
                </w14:textFill>
              </w:rPr>
            </w:pPr>
          </w:p>
        </w:tc>
        <w:tc>
          <w:tcPr>
            <w:tcW w:w="1392" w:type="dxa"/>
            <w:vMerge w:val="continue"/>
            <w:vAlign w:val="center"/>
          </w:tcPr>
          <w:p w14:paraId="5B70AC47">
            <w:pPr>
              <w:adjustRightInd w:val="0"/>
              <w:snapToGrid w:val="0"/>
              <w:jc w:val="center"/>
              <w:rPr>
                <w:rFonts w:hint="default"/>
                <w:color w:val="000000" w:themeColor="text1"/>
                <w:szCs w:val="21"/>
                <w14:textFill>
                  <w14:solidFill>
                    <w14:schemeClr w14:val="tx1"/>
                  </w14:solidFill>
                </w14:textFill>
              </w:rPr>
            </w:pPr>
          </w:p>
        </w:tc>
        <w:tc>
          <w:tcPr>
            <w:tcW w:w="1394" w:type="dxa"/>
            <w:vMerge w:val="continue"/>
            <w:vAlign w:val="center"/>
          </w:tcPr>
          <w:p w14:paraId="218ECBC5">
            <w:pPr>
              <w:adjustRightInd w:val="0"/>
              <w:snapToGrid w:val="0"/>
              <w:jc w:val="center"/>
              <w:rPr>
                <w:rFonts w:hint="default"/>
                <w:color w:val="000000" w:themeColor="text1"/>
                <w:szCs w:val="21"/>
                <w14:textFill>
                  <w14:solidFill>
                    <w14:schemeClr w14:val="tx1"/>
                  </w14:solidFill>
                </w14:textFill>
              </w:rPr>
            </w:pPr>
          </w:p>
        </w:tc>
        <w:tc>
          <w:tcPr>
            <w:tcW w:w="1098" w:type="dxa"/>
            <w:vMerge w:val="continue"/>
            <w:vAlign w:val="center"/>
          </w:tcPr>
          <w:p w14:paraId="728BCC9C">
            <w:pPr>
              <w:adjustRightInd w:val="0"/>
              <w:snapToGrid w:val="0"/>
              <w:jc w:val="center"/>
              <w:rPr>
                <w:rFonts w:hint="default"/>
                <w:color w:val="000000" w:themeColor="text1"/>
                <w:szCs w:val="21"/>
                <w14:textFill>
                  <w14:solidFill>
                    <w14:schemeClr w14:val="tx1"/>
                  </w14:solidFill>
                </w14:textFill>
              </w:rPr>
            </w:pPr>
          </w:p>
        </w:tc>
      </w:tr>
    </w:tbl>
    <w:p w14:paraId="73A025D6">
      <w:pPr>
        <w:spacing w:line="360" w:lineRule="auto"/>
        <w:jc w:val="center"/>
        <w:rPr>
          <w:b/>
          <w:color w:val="000000" w:themeColor="text1"/>
          <w:sz w:val="24"/>
          <w14:textFill>
            <w14:solidFill>
              <w14:schemeClr w14:val="tx1"/>
            </w14:solidFill>
          </w14:textFill>
        </w:rPr>
      </w:pPr>
    </w:p>
    <w:p w14:paraId="0EB48454">
      <w:pPr>
        <w:spacing w:line="360" w:lineRule="auto"/>
        <w:jc w:val="center"/>
        <w:rPr>
          <w:b/>
          <w:color w:val="000000" w:themeColor="text1"/>
          <w:sz w:val="24"/>
          <w14:textFill>
            <w14:solidFill>
              <w14:schemeClr w14:val="tx1"/>
            </w14:solidFill>
          </w14:textFill>
        </w:rPr>
      </w:pPr>
    </w:p>
    <w:p w14:paraId="183FC17A">
      <w:pPr>
        <w:spacing w:line="360" w:lineRule="auto"/>
        <w:jc w:val="center"/>
        <w:rPr>
          <w:b/>
          <w:color w:val="000000" w:themeColor="text1"/>
          <w:sz w:val="24"/>
          <w14:textFill>
            <w14:solidFill>
              <w14:schemeClr w14:val="tx1"/>
            </w14:solidFill>
          </w14:textFill>
        </w:rPr>
      </w:pPr>
    </w:p>
    <w:p w14:paraId="2274CB37">
      <w:pPr>
        <w:spacing w:line="360" w:lineRule="auto"/>
        <w:jc w:val="center"/>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表</w:t>
      </w:r>
      <w:r>
        <w:rPr>
          <w:b/>
          <w:color w:val="000000" w:themeColor="text1"/>
          <w:sz w:val="24"/>
          <w14:textFill>
            <w14:solidFill>
              <w14:schemeClr w14:val="tx1"/>
            </w14:solidFill>
          </w14:textFill>
        </w:rPr>
        <w:t xml:space="preserve">3 </w:t>
      </w:r>
      <w:r>
        <w:rPr>
          <w:rFonts w:hint="eastAsia"/>
          <w:b/>
          <w:color w:val="000000" w:themeColor="text1"/>
          <w:sz w:val="24"/>
          <w14:textFill>
            <w14:solidFill>
              <w14:schemeClr w14:val="tx1"/>
            </w14:solidFill>
          </w14:textFill>
        </w:rPr>
        <w:t>柔性包装</w:t>
      </w:r>
      <w:r>
        <w:rPr>
          <w:rFonts w:hint="eastAsia"/>
          <w:b/>
          <w:color w:val="000000" w:themeColor="text1"/>
          <w:sz w:val="24"/>
          <w:lang w:val="en-US" w:eastAsia="zh-CN"/>
          <w14:textFill>
            <w14:solidFill>
              <w14:schemeClr w14:val="tx1"/>
            </w14:solidFill>
          </w14:textFill>
        </w:rPr>
        <w:t>3</w:t>
      </w:r>
      <w:r>
        <w:rPr>
          <w:rFonts w:hint="eastAsia" w:ascii="宋体" w:hAnsi="宋体"/>
          <w:b/>
          <w:color w:val="000000" w:themeColor="text1"/>
          <w:sz w:val="24"/>
          <w14:textFill>
            <w14:solidFill>
              <w14:schemeClr w14:val="tx1"/>
            </w14:solidFill>
          </w14:textFill>
        </w:rPr>
        <w:t>不同位置样品总固物含量测定值</w:t>
      </w:r>
    </w:p>
    <w:p w14:paraId="0B9EC144">
      <w:pPr>
        <w:overflowPunct w:val="0"/>
        <w:adjustRightInd w:val="0"/>
        <w:jc w:val="righ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单位：</w:t>
      </w:r>
      <w:r>
        <w:rPr>
          <w:rFonts w:ascii="宋体" w:hAnsi="宋体" w:cs="宋体"/>
          <w:color w:val="000000" w:themeColor="text1"/>
          <w:kern w:val="0"/>
          <w:szCs w:val="21"/>
          <w14:textFill>
            <w14:solidFill>
              <w14:schemeClr w14:val="tx1"/>
            </w14:solidFill>
          </w14:textFill>
        </w:rPr>
        <w:t>%</w:t>
      </w:r>
    </w:p>
    <w:tbl>
      <w:tblPr>
        <w:tblStyle w:val="11"/>
        <w:tblW w:w="84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32" w:type="dxa"/>
          <w:left w:w="64" w:type="dxa"/>
          <w:bottom w:w="32" w:type="dxa"/>
          <w:right w:w="64" w:type="dxa"/>
        </w:tblCellMar>
      </w:tblPr>
      <w:tblGrid>
        <w:gridCol w:w="667"/>
        <w:gridCol w:w="921"/>
        <w:gridCol w:w="667"/>
        <w:gridCol w:w="1488"/>
        <w:gridCol w:w="844"/>
        <w:gridCol w:w="1392"/>
        <w:gridCol w:w="1394"/>
        <w:gridCol w:w="1098"/>
      </w:tblGrid>
      <w:tr w14:paraId="738FB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1588" w:type="dxa"/>
            <w:gridSpan w:val="2"/>
            <w:vMerge w:val="restart"/>
            <w:vAlign w:val="center"/>
          </w:tcPr>
          <w:p w14:paraId="7AD7CD2D">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样品</w:t>
            </w:r>
          </w:p>
        </w:tc>
        <w:tc>
          <w:tcPr>
            <w:tcW w:w="667" w:type="dxa"/>
            <w:vMerge w:val="restart"/>
            <w:vAlign w:val="center"/>
          </w:tcPr>
          <w:p w14:paraId="2A518649">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测定</w:t>
            </w:r>
          </w:p>
          <w:p w14:paraId="3AF6CD9B">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次数</w:t>
            </w:r>
          </w:p>
        </w:tc>
        <w:tc>
          <w:tcPr>
            <w:tcW w:w="6216" w:type="dxa"/>
            <w:gridSpan w:val="5"/>
            <w:vAlign w:val="center"/>
          </w:tcPr>
          <w:p w14:paraId="773FD0B7">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总固体含量（%）</w:t>
            </w:r>
          </w:p>
        </w:tc>
      </w:tr>
      <w:tr w14:paraId="56EE6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1588" w:type="dxa"/>
            <w:gridSpan w:val="2"/>
            <w:vMerge w:val="continue"/>
            <w:vAlign w:val="center"/>
          </w:tcPr>
          <w:p w14:paraId="034F583F">
            <w:pPr>
              <w:adjustRightInd w:val="0"/>
              <w:snapToGrid w:val="0"/>
              <w:jc w:val="center"/>
              <w:rPr>
                <w:rFonts w:hint="default"/>
                <w:bCs/>
                <w:color w:val="000000" w:themeColor="text1"/>
                <w:szCs w:val="21"/>
                <w14:textFill>
                  <w14:solidFill>
                    <w14:schemeClr w14:val="tx1"/>
                  </w14:solidFill>
                </w14:textFill>
              </w:rPr>
            </w:pPr>
          </w:p>
        </w:tc>
        <w:tc>
          <w:tcPr>
            <w:tcW w:w="667" w:type="dxa"/>
            <w:vMerge w:val="continue"/>
            <w:vAlign w:val="center"/>
          </w:tcPr>
          <w:p w14:paraId="0F328A07">
            <w:pPr>
              <w:adjustRightInd w:val="0"/>
              <w:snapToGrid w:val="0"/>
              <w:jc w:val="center"/>
              <w:rPr>
                <w:rFonts w:hint="default"/>
                <w:bCs/>
                <w:color w:val="000000" w:themeColor="text1"/>
                <w:szCs w:val="21"/>
                <w14:textFill>
                  <w14:solidFill>
                    <w14:schemeClr w14:val="tx1"/>
                  </w14:solidFill>
                </w14:textFill>
              </w:rPr>
            </w:pPr>
          </w:p>
        </w:tc>
        <w:tc>
          <w:tcPr>
            <w:tcW w:w="1488" w:type="dxa"/>
            <w:vAlign w:val="center"/>
          </w:tcPr>
          <w:p w14:paraId="28439733">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单次测定</w:t>
            </w:r>
          </w:p>
          <w:p w14:paraId="15980E17">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结果</w:t>
            </w:r>
          </w:p>
        </w:tc>
        <w:tc>
          <w:tcPr>
            <w:tcW w:w="844" w:type="dxa"/>
            <w:vAlign w:val="center"/>
          </w:tcPr>
          <w:p w14:paraId="6AE2E1B6">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平均值</w:t>
            </w:r>
          </w:p>
        </w:tc>
        <w:tc>
          <w:tcPr>
            <w:tcW w:w="1392" w:type="dxa"/>
            <w:vAlign w:val="center"/>
          </w:tcPr>
          <w:p w14:paraId="1ACBA6C4">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差值</w:t>
            </w:r>
            <w:r>
              <w:rPr>
                <w:rFonts w:hint="default"/>
                <w:bCs/>
                <w:color w:val="000000" w:themeColor="text1"/>
                <w:szCs w:val="21"/>
                <w:vertAlign w:val="subscript"/>
                <w14:textFill>
                  <w14:solidFill>
                    <w14:schemeClr w14:val="tx1"/>
                  </w14:solidFill>
                </w14:textFill>
              </w:rPr>
              <w:t>（上-中）</w:t>
            </w:r>
          </w:p>
        </w:tc>
        <w:tc>
          <w:tcPr>
            <w:tcW w:w="1394" w:type="dxa"/>
            <w:vAlign w:val="center"/>
          </w:tcPr>
          <w:p w14:paraId="7FBB0453">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差值</w:t>
            </w:r>
            <w:r>
              <w:rPr>
                <w:rFonts w:hint="default"/>
                <w:bCs/>
                <w:color w:val="000000" w:themeColor="text1"/>
                <w:szCs w:val="21"/>
                <w:vertAlign w:val="subscript"/>
                <w14:textFill>
                  <w14:solidFill>
                    <w14:schemeClr w14:val="tx1"/>
                  </w14:solidFill>
                </w14:textFill>
              </w:rPr>
              <w:t>（中-下）</w:t>
            </w:r>
          </w:p>
        </w:tc>
        <w:tc>
          <w:tcPr>
            <w:tcW w:w="1098" w:type="dxa"/>
            <w:vAlign w:val="center"/>
          </w:tcPr>
          <w:p w14:paraId="2AA0E3FC">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差值</w:t>
            </w:r>
            <w:r>
              <w:rPr>
                <w:rFonts w:hint="default"/>
                <w:bCs/>
                <w:color w:val="000000" w:themeColor="text1"/>
                <w:szCs w:val="21"/>
                <w:vertAlign w:val="subscript"/>
                <w14:textFill>
                  <w14:solidFill>
                    <w14:schemeClr w14:val="tx1"/>
                  </w14:solidFill>
                </w14:textFill>
              </w:rPr>
              <w:t>（上-下）</w:t>
            </w:r>
          </w:p>
        </w:tc>
      </w:tr>
      <w:tr w14:paraId="38417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667" w:type="dxa"/>
            <w:vMerge w:val="restart"/>
            <w:vAlign w:val="center"/>
          </w:tcPr>
          <w:p w14:paraId="46F404D5">
            <w:pPr>
              <w:adjustRightInd w:val="0"/>
              <w:snapToGrid w:val="0"/>
              <w:jc w:val="both"/>
              <w:rPr>
                <w:rFonts w:hint="default"/>
                <w:color w:val="000000" w:themeColor="text1"/>
                <w:szCs w:val="21"/>
                <w14:textFill>
                  <w14:solidFill>
                    <w14:schemeClr w14:val="tx1"/>
                  </w14:solidFill>
                </w14:textFill>
              </w:rPr>
            </w:pPr>
            <w:r>
              <w:rPr>
                <w:rFonts w:hint="eastAsia"/>
                <w:color w:val="000000" w:themeColor="text1"/>
                <w:szCs w:val="21"/>
                <w:lang w:eastAsia="zh-CN"/>
                <w14:textFill>
                  <w14:solidFill>
                    <w14:schemeClr w14:val="tx1"/>
                  </w14:solidFill>
                </w14:textFill>
              </w:rPr>
              <w:t>柔性包装</w:t>
            </w:r>
            <w:r>
              <w:rPr>
                <w:rFonts w:hint="eastAsia"/>
                <w:color w:val="000000" w:themeColor="text1"/>
                <w:szCs w:val="21"/>
                <w:lang w:val="en-US" w:eastAsia="zh-CN"/>
                <w14:textFill>
                  <w14:solidFill>
                    <w14:schemeClr w14:val="tx1"/>
                  </w14:solidFill>
                </w14:textFill>
              </w:rPr>
              <w:t>3</w:t>
            </w:r>
          </w:p>
        </w:tc>
        <w:tc>
          <w:tcPr>
            <w:tcW w:w="921" w:type="dxa"/>
            <w:vMerge w:val="restart"/>
            <w:vAlign w:val="center"/>
          </w:tcPr>
          <w:p w14:paraId="20AADF40">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上层</w:t>
            </w:r>
          </w:p>
          <w:p w14:paraId="3A9E1FAE">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胶乳</w:t>
            </w:r>
          </w:p>
        </w:tc>
        <w:tc>
          <w:tcPr>
            <w:tcW w:w="667" w:type="dxa"/>
            <w:vAlign w:val="center"/>
          </w:tcPr>
          <w:p w14:paraId="1D5F00BA">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1</w:t>
            </w:r>
          </w:p>
        </w:tc>
        <w:tc>
          <w:tcPr>
            <w:tcW w:w="1488" w:type="dxa"/>
            <w:vAlign w:val="center"/>
          </w:tcPr>
          <w:p w14:paraId="7469D972">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60.97</w:t>
            </w:r>
          </w:p>
        </w:tc>
        <w:tc>
          <w:tcPr>
            <w:tcW w:w="844" w:type="dxa"/>
            <w:vMerge w:val="restart"/>
            <w:vAlign w:val="center"/>
          </w:tcPr>
          <w:p w14:paraId="1AA7414D">
            <w:pPr>
              <w:widowControl/>
              <w:snapToGrid w:val="0"/>
              <w:jc w:val="center"/>
              <w:textAlignment w:val="center"/>
              <w:rPr>
                <w:rFonts w:hint="default"/>
                <w:color w:val="000000" w:themeColor="text1"/>
                <w:szCs w:val="21"/>
                <w14:textFill>
                  <w14:solidFill>
                    <w14:schemeClr w14:val="tx1"/>
                  </w14:solidFill>
                </w14:textFill>
              </w:rPr>
            </w:pPr>
            <w:r>
              <w:rPr>
                <w:rFonts w:hint="default"/>
                <w:color w:val="000000" w:themeColor="text1"/>
                <w:kern w:val="0"/>
                <w:szCs w:val="21"/>
                <w:lang w:bidi="ar"/>
                <w14:textFill>
                  <w14:solidFill>
                    <w14:schemeClr w14:val="tx1"/>
                  </w14:solidFill>
                </w14:textFill>
              </w:rPr>
              <w:t xml:space="preserve">60.98 </w:t>
            </w:r>
          </w:p>
        </w:tc>
        <w:tc>
          <w:tcPr>
            <w:tcW w:w="1392" w:type="dxa"/>
            <w:vMerge w:val="restart"/>
            <w:vAlign w:val="center"/>
          </w:tcPr>
          <w:p w14:paraId="568247C3">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-0.01</w:t>
            </w:r>
          </w:p>
        </w:tc>
        <w:tc>
          <w:tcPr>
            <w:tcW w:w="1394" w:type="dxa"/>
            <w:vMerge w:val="restart"/>
            <w:vAlign w:val="center"/>
          </w:tcPr>
          <w:p w14:paraId="18C37407">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-0.04</w:t>
            </w:r>
          </w:p>
        </w:tc>
        <w:tc>
          <w:tcPr>
            <w:tcW w:w="1098" w:type="dxa"/>
            <w:vMerge w:val="restart"/>
            <w:vAlign w:val="center"/>
          </w:tcPr>
          <w:p w14:paraId="681467C1">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-0.02</w:t>
            </w:r>
          </w:p>
        </w:tc>
      </w:tr>
      <w:tr w14:paraId="5C536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667" w:type="dxa"/>
            <w:vMerge w:val="continue"/>
            <w:vAlign w:val="center"/>
          </w:tcPr>
          <w:p w14:paraId="08BD6FDA">
            <w:pPr>
              <w:adjustRightInd w:val="0"/>
              <w:snapToGrid w:val="0"/>
              <w:jc w:val="center"/>
              <w:rPr>
                <w:rFonts w:hint="default"/>
                <w:color w:val="000000" w:themeColor="text1"/>
                <w:szCs w:val="21"/>
                <w14:textFill>
                  <w14:solidFill>
                    <w14:schemeClr w14:val="tx1"/>
                  </w14:solidFill>
                </w14:textFill>
              </w:rPr>
            </w:pPr>
          </w:p>
        </w:tc>
        <w:tc>
          <w:tcPr>
            <w:tcW w:w="921" w:type="dxa"/>
            <w:vMerge w:val="continue"/>
            <w:vAlign w:val="center"/>
          </w:tcPr>
          <w:p w14:paraId="0E58EB30">
            <w:pPr>
              <w:adjustRightInd w:val="0"/>
              <w:snapToGrid w:val="0"/>
              <w:jc w:val="center"/>
              <w:rPr>
                <w:rFonts w:hint="default"/>
                <w:color w:val="000000" w:themeColor="text1"/>
                <w:szCs w:val="21"/>
                <w14:textFill>
                  <w14:solidFill>
                    <w14:schemeClr w14:val="tx1"/>
                  </w14:solidFill>
                </w14:textFill>
              </w:rPr>
            </w:pPr>
          </w:p>
        </w:tc>
        <w:tc>
          <w:tcPr>
            <w:tcW w:w="667" w:type="dxa"/>
            <w:vAlign w:val="center"/>
          </w:tcPr>
          <w:p w14:paraId="545C06BD">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2</w:t>
            </w:r>
          </w:p>
        </w:tc>
        <w:tc>
          <w:tcPr>
            <w:tcW w:w="1488" w:type="dxa"/>
            <w:vAlign w:val="center"/>
          </w:tcPr>
          <w:p w14:paraId="2456F5D7">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60.99</w:t>
            </w:r>
          </w:p>
        </w:tc>
        <w:tc>
          <w:tcPr>
            <w:tcW w:w="844" w:type="dxa"/>
            <w:vMerge w:val="continue"/>
            <w:vAlign w:val="center"/>
          </w:tcPr>
          <w:p w14:paraId="4559003F">
            <w:pPr>
              <w:adjustRightInd w:val="0"/>
              <w:snapToGrid w:val="0"/>
              <w:jc w:val="center"/>
              <w:rPr>
                <w:rFonts w:hint="default"/>
                <w:color w:val="000000" w:themeColor="text1"/>
                <w:szCs w:val="21"/>
                <w14:textFill>
                  <w14:solidFill>
                    <w14:schemeClr w14:val="tx1"/>
                  </w14:solidFill>
                </w14:textFill>
              </w:rPr>
            </w:pPr>
          </w:p>
        </w:tc>
        <w:tc>
          <w:tcPr>
            <w:tcW w:w="1392" w:type="dxa"/>
            <w:vMerge w:val="continue"/>
            <w:vAlign w:val="center"/>
          </w:tcPr>
          <w:p w14:paraId="44463334">
            <w:pPr>
              <w:adjustRightInd w:val="0"/>
              <w:snapToGrid w:val="0"/>
              <w:jc w:val="center"/>
              <w:rPr>
                <w:rFonts w:hint="default"/>
                <w:color w:val="000000" w:themeColor="text1"/>
                <w:szCs w:val="21"/>
                <w14:textFill>
                  <w14:solidFill>
                    <w14:schemeClr w14:val="tx1"/>
                  </w14:solidFill>
                </w14:textFill>
              </w:rPr>
            </w:pPr>
          </w:p>
        </w:tc>
        <w:tc>
          <w:tcPr>
            <w:tcW w:w="1394" w:type="dxa"/>
            <w:vMerge w:val="continue"/>
            <w:vAlign w:val="center"/>
          </w:tcPr>
          <w:p w14:paraId="79C51171">
            <w:pPr>
              <w:adjustRightInd w:val="0"/>
              <w:snapToGrid w:val="0"/>
              <w:jc w:val="center"/>
              <w:rPr>
                <w:rFonts w:hint="default"/>
                <w:color w:val="000000" w:themeColor="text1"/>
                <w:szCs w:val="21"/>
                <w14:textFill>
                  <w14:solidFill>
                    <w14:schemeClr w14:val="tx1"/>
                  </w14:solidFill>
                </w14:textFill>
              </w:rPr>
            </w:pPr>
          </w:p>
        </w:tc>
        <w:tc>
          <w:tcPr>
            <w:tcW w:w="1098" w:type="dxa"/>
            <w:vMerge w:val="continue"/>
            <w:vAlign w:val="center"/>
          </w:tcPr>
          <w:p w14:paraId="67EE6B34">
            <w:pPr>
              <w:adjustRightInd w:val="0"/>
              <w:snapToGrid w:val="0"/>
              <w:jc w:val="center"/>
              <w:rPr>
                <w:rFonts w:hint="default"/>
                <w:color w:val="000000" w:themeColor="text1"/>
                <w:szCs w:val="21"/>
                <w14:textFill>
                  <w14:solidFill>
                    <w14:schemeClr w14:val="tx1"/>
                  </w14:solidFill>
                </w14:textFill>
              </w:rPr>
            </w:pPr>
          </w:p>
        </w:tc>
      </w:tr>
      <w:tr w14:paraId="0F3CA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667" w:type="dxa"/>
            <w:vMerge w:val="continue"/>
            <w:vAlign w:val="center"/>
          </w:tcPr>
          <w:p w14:paraId="4F88FACB">
            <w:pPr>
              <w:adjustRightInd w:val="0"/>
              <w:snapToGrid w:val="0"/>
              <w:jc w:val="center"/>
              <w:rPr>
                <w:rFonts w:hint="default"/>
                <w:color w:val="000000" w:themeColor="text1"/>
                <w:szCs w:val="21"/>
                <w14:textFill>
                  <w14:solidFill>
                    <w14:schemeClr w14:val="tx1"/>
                  </w14:solidFill>
                </w14:textFill>
              </w:rPr>
            </w:pPr>
          </w:p>
        </w:tc>
        <w:tc>
          <w:tcPr>
            <w:tcW w:w="921" w:type="dxa"/>
            <w:vMerge w:val="restart"/>
            <w:vAlign w:val="center"/>
          </w:tcPr>
          <w:p w14:paraId="1BA92CCF">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中层</w:t>
            </w:r>
          </w:p>
          <w:p w14:paraId="529CFA65">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胶乳</w:t>
            </w:r>
          </w:p>
        </w:tc>
        <w:tc>
          <w:tcPr>
            <w:tcW w:w="667" w:type="dxa"/>
            <w:vAlign w:val="center"/>
          </w:tcPr>
          <w:p w14:paraId="31D0E1CB">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1</w:t>
            </w:r>
          </w:p>
        </w:tc>
        <w:tc>
          <w:tcPr>
            <w:tcW w:w="1488" w:type="dxa"/>
            <w:vAlign w:val="center"/>
          </w:tcPr>
          <w:p w14:paraId="0F5A5C45">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61.00</w:t>
            </w:r>
          </w:p>
        </w:tc>
        <w:tc>
          <w:tcPr>
            <w:tcW w:w="844" w:type="dxa"/>
            <w:vMerge w:val="restart"/>
            <w:vAlign w:val="center"/>
          </w:tcPr>
          <w:p w14:paraId="770A24A5">
            <w:pPr>
              <w:widowControl/>
              <w:snapToGrid w:val="0"/>
              <w:jc w:val="center"/>
              <w:textAlignment w:val="center"/>
              <w:rPr>
                <w:rFonts w:hint="default"/>
                <w:color w:val="000000" w:themeColor="text1"/>
                <w:szCs w:val="21"/>
                <w14:textFill>
                  <w14:solidFill>
                    <w14:schemeClr w14:val="tx1"/>
                  </w14:solidFill>
                </w14:textFill>
              </w:rPr>
            </w:pPr>
            <w:r>
              <w:rPr>
                <w:rFonts w:hint="default"/>
                <w:color w:val="000000" w:themeColor="text1"/>
                <w:kern w:val="0"/>
                <w:szCs w:val="21"/>
                <w:lang w:bidi="ar"/>
                <w14:textFill>
                  <w14:solidFill>
                    <w14:schemeClr w14:val="tx1"/>
                  </w14:solidFill>
                </w14:textFill>
              </w:rPr>
              <w:t xml:space="preserve">60.99 </w:t>
            </w:r>
          </w:p>
        </w:tc>
        <w:tc>
          <w:tcPr>
            <w:tcW w:w="1392" w:type="dxa"/>
            <w:vMerge w:val="continue"/>
            <w:vAlign w:val="center"/>
          </w:tcPr>
          <w:p w14:paraId="0714D529">
            <w:pPr>
              <w:adjustRightInd w:val="0"/>
              <w:snapToGrid w:val="0"/>
              <w:jc w:val="center"/>
              <w:rPr>
                <w:rFonts w:hint="default"/>
                <w:color w:val="000000" w:themeColor="text1"/>
                <w:szCs w:val="21"/>
                <w14:textFill>
                  <w14:solidFill>
                    <w14:schemeClr w14:val="tx1"/>
                  </w14:solidFill>
                </w14:textFill>
              </w:rPr>
            </w:pPr>
          </w:p>
        </w:tc>
        <w:tc>
          <w:tcPr>
            <w:tcW w:w="1394" w:type="dxa"/>
            <w:vMerge w:val="continue"/>
            <w:vAlign w:val="center"/>
          </w:tcPr>
          <w:p w14:paraId="0BFC2CAE">
            <w:pPr>
              <w:adjustRightInd w:val="0"/>
              <w:snapToGrid w:val="0"/>
              <w:jc w:val="center"/>
              <w:rPr>
                <w:rFonts w:hint="default"/>
                <w:color w:val="000000" w:themeColor="text1"/>
                <w:szCs w:val="21"/>
                <w14:textFill>
                  <w14:solidFill>
                    <w14:schemeClr w14:val="tx1"/>
                  </w14:solidFill>
                </w14:textFill>
              </w:rPr>
            </w:pPr>
          </w:p>
        </w:tc>
        <w:tc>
          <w:tcPr>
            <w:tcW w:w="1098" w:type="dxa"/>
            <w:vMerge w:val="continue"/>
            <w:vAlign w:val="center"/>
          </w:tcPr>
          <w:p w14:paraId="04BAE431">
            <w:pPr>
              <w:adjustRightInd w:val="0"/>
              <w:snapToGrid w:val="0"/>
              <w:jc w:val="center"/>
              <w:rPr>
                <w:rFonts w:hint="default"/>
                <w:color w:val="000000" w:themeColor="text1"/>
                <w:szCs w:val="21"/>
                <w14:textFill>
                  <w14:solidFill>
                    <w14:schemeClr w14:val="tx1"/>
                  </w14:solidFill>
                </w14:textFill>
              </w:rPr>
            </w:pPr>
          </w:p>
        </w:tc>
      </w:tr>
      <w:tr w14:paraId="7C3E0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667" w:type="dxa"/>
            <w:vMerge w:val="continue"/>
            <w:vAlign w:val="center"/>
          </w:tcPr>
          <w:p w14:paraId="4BC49313">
            <w:pPr>
              <w:adjustRightInd w:val="0"/>
              <w:snapToGrid w:val="0"/>
              <w:jc w:val="center"/>
              <w:rPr>
                <w:rFonts w:hint="default"/>
                <w:color w:val="000000" w:themeColor="text1"/>
                <w:szCs w:val="21"/>
                <w14:textFill>
                  <w14:solidFill>
                    <w14:schemeClr w14:val="tx1"/>
                  </w14:solidFill>
                </w14:textFill>
              </w:rPr>
            </w:pPr>
          </w:p>
        </w:tc>
        <w:tc>
          <w:tcPr>
            <w:tcW w:w="921" w:type="dxa"/>
            <w:vMerge w:val="continue"/>
            <w:vAlign w:val="center"/>
          </w:tcPr>
          <w:p w14:paraId="23B86234">
            <w:pPr>
              <w:adjustRightInd w:val="0"/>
              <w:snapToGrid w:val="0"/>
              <w:jc w:val="center"/>
              <w:rPr>
                <w:rFonts w:hint="default"/>
                <w:color w:val="000000" w:themeColor="text1"/>
                <w:szCs w:val="21"/>
                <w14:textFill>
                  <w14:solidFill>
                    <w14:schemeClr w14:val="tx1"/>
                  </w14:solidFill>
                </w14:textFill>
              </w:rPr>
            </w:pPr>
          </w:p>
        </w:tc>
        <w:tc>
          <w:tcPr>
            <w:tcW w:w="667" w:type="dxa"/>
            <w:vAlign w:val="center"/>
          </w:tcPr>
          <w:p w14:paraId="798E0B01">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2</w:t>
            </w:r>
          </w:p>
        </w:tc>
        <w:tc>
          <w:tcPr>
            <w:tcW w:w="1488" w:type="dxa"/>
            <w:vAlign w:val="center"/>
          </w:tcPr>
          <w:p w14:paraId="3A5834B6">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60.98</w:t>
            </w:r>
          </w:p>
        </w:tc>
        <w:tc>
          <w:tcPr>
            <w:tcW w:w="844" w:type="dxa"/>
            <w:vMerge w:val="continue"/>
            <w:vAlign w:val="center"/>
          </w:tcPr>
          <w:p w14:paraId="71618544">
            <w:pPr>
              <w:adjustRightInd w:val="0"/>
              <w:snapToGrid w:val="0"/>
              <w:jc w:val="center"/>
              <w:rPr>
                <w:rFonts w:hint="default"/>
                <w:color w:val="000000" w:themeColor="text1"/>
                <w:szCs w:val="21"/>
                <w14:textFill>
                  <w14:solidFill>
                    <w14:schemeClr w14:val="tx1"/>
                  </w14:solidFill>
                </w14:textFill>
              </w:rPr>
            </w:pPr>
          </w:p>
        </w:tc>
        <w:tc>
          <w:tcPr>
            <w:tcW w:w="1392" w:type="dxa"/>
            <w:vMerge w:val="continue"/>
            <w:vAlign w:val="center"/>
          </w:tcPr>
          <w:p w14:paraId="544FE8B6">
            <w:pPr>
              <w:adjustRightInd w:val="0"/>
              <w:snapToGrid w:val="0"/>
              <w:jc w:val="center"/>
              <w:rPr>
                <w:rFonts w:hint="default"/>
                <w:color w:val="000000" w:themeColor="text1"/>
                <w:szCs w:val="21"/>
                <w14:textFill>
                  <w14:solidFill>
                    <w14:schemeClr w14:val="tx1"/>
                  </w14:solidFill>
                </w14:textFill>
              </w:rPr>
            </w:pPr>
          </w:p>
        </w:tc>
        <w:tc>
          <w:tcPr>
            <w:tcW w:w="1394" w:type="dxa"/>
            <w:vMerge w:val="continue"/>
            <w:vAlign w:val="center"/>
          </w:tcPr>
          <w:p w14:paraId="3921AB6C">
            <w:pPr>
              <w:adjustRightInd w:val="0"/>
              <w:snapToGrid w:val="0"/>
              <w:jc w:val="center"/>
              <w:rPr>
                <w:rFonts w:hint="default"/>
                <w:color w:val="000000" w:themeColor="text1"/>
                <w:szCs w:val="21"/>
                <w14:textFill>
                  <w14:solidFill>
                    <w14:schemeClr w14:val="tx1"/>
                  </w14:solidFill>
                </w14:textFill>
              </w:rPr>
            </w:pPr>
          </w:p>
        </w:tc>
        <w:tc>
          <w:tcPr>
            <w:tcW w:w="1098" w:type="dxa"/>
            <w:vMerge w:val="continue"/>
            <w:vAlign w:val="center"/>
          </w:tcPr>
          <w:p w14:paraId="5D0F9DF8">
            <w:pPr>
              <w:adjustRightInd w:val="0"/>
              <w:snapToGrid w:val="0"/>
              <w:jc w:val="center"/>
              <w:rPr>
                <w:rFonts w:hint="default"/>
                <w:color w:val="000000" w:themeColor="text1"/>
                <w:szCs w:val="21"/>
                <w14:textFill>
                  <w14:solidFill>
                    <w14:schemeClr w14:val="tx1"/>
                  </w14:solidFill>
                </w14:textFill>
              </w:rPr>
            </w:pPr>
          </w:p>
        </w:tc>
      </w:tr>
      <w:tr w14:paraId="1AF50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667" w:type="dxa"/>
            <w:vMerge w:val="continue"/>
            <w:vAlign w:val="center"/>
          </w:tcPr>
          <w:p w14:paraId="69401634">
            <w:pPr>
              <w:adjustRightInd w:val="0"/>
              <w:snapToGrid w:val="0"/>
              <w:jc w:val="center"/>
              <w:rPr>
                <w:rFonts w:hint="default"/>
                <w:color w:val="000000" w:themeColor="text1"/>
                <w:szCs w:val="21"/>
                <w14:textFill>
                  <w14:solidFill>
                    <w14:schemeClr w14:val="tx1"/>
                  </w14:solidFill>
                </w14:textFill>
              </w:rPr>
            </w:pPr>
          </w:p>
        </w:tc>
        <w:tc>
          <w:tcPr>
            <w:tcW w:w="921" w:type="dxa"/>
            <w:vMerge w:val="restart"/>
            <w:vAlign w:val="center"/>
          </w:tcPr>
          <w:p w14:paraId="52F30545">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下层</w:t>
            </w:r>
          </w:p>
          <w:p w14:paraId="73F360A8">
            <w:pPr>
              <w:adjustRightInd w:val="0"/>
              <w:snapToGrid w:val="0"/>
              <w:ind w:firstLine="210" w:firstLineChars="100"/>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胶乳</w:t>
            </w:r>
          </w:p>
        </w:tc>
        <w:tc>
          <w:tcPr>
            <w:tcW w:w="667" w:type="dxa"/>
            <w:vAlign w:val="center"/>
          </w:tcPr>
          <w:p w14:paraId="564FDF58">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1</w:t>
            </w:r>
          </w:p>
        </w:tc>
        <w:tc>
          <w:tcPr>
            <w:tcW w:w="1488" w:type="dxa"/>
            <w:vAlign w:val="center"/>
          </w:tcPr>
          <w:p w14:paraId="336AC860">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61.02</w:t>
            </w:r>
          </w:p>
        </w:tc>
        <w:tc>
          <w:tcPr>
            <w:tcW w:w="844" w:type="dxa"/>
            <w:vMerge w:val="restart"/>
            <w:vAlign w:val="center"/>
          </w:tcPr>
          <w:p w14:paraId="674BD8FE">
            <w:pPr>
              <w:widowControl/>
              <w:snapToGrid w:val="0"/>
              <w:jc w:val="center"/>
              <w:textAlignment w:val="center"/>
              <w:rPr>
                <w:rFonts w:hint="default"/>
                <w:color w:val="000000" w:themeColor="text1"/>
                <w:szCs w:val="21"/>
                <w14:textFill>
                  <w14:solidFill>
                    <w14:schemeClr w14:val="tx1"/>
                  </w14:solidFill>
                </w14:textFill>
              </w:rPr>
            </w:pPr>
            <w:r>
              <w:rPr>
                <w:rFonts w:hint="default"/>
                <w:color w:val="000000" w:themeColor="text1"/>
                <w:kern w:val="0"/>
                <w:szCs w:val="21"/>
                <w:lang w:bidi="ar"/>
                <w14:textFill>
                  <w14:solidFill>
                    <w14:schemeClr w14:val="tx1"/>
                  </w14:solidFill>
                </w14:textFill>
              </w:rPr>
              <w:t xml:space="preserve">61.00 </w:t>
            </w:r>
          </w:p>
        </w:tc>
        <w:tc>
          <w:tcPr>
            <w:tcW w:w="1392" w:type="dxa"/>
            <w:vMerge w:val="continue"/>
            <w:vAlign w:val="center"/>
          </w:tcPr>
          <w:p w14:paraId="378E77AA">
            <w:pPr>
              <w:adjustRightInd w:val="0"/>
              <w:snapToGrid w:val="0"/>
              <w:jc w:val="center"/>
              <w:rPr>
                <w:rFonts w:hint="default"/>
                <w:color w:val="000000" w:themeColor="text1"/>
                <w:szCs w:val="21"/>
                <w14:textFill>
                  <w14:solidFill>
                    <w14:schemeClr w14:val="tx1"/>
                  </w14:solidFill>
                </w14:textFill>
              </w:rPr>
            </w:pPr>
          </w:p>
        </w:tc>
        <w:tc>
          <w:tcPr>
            <w:tcW w:w="1394" w:type="dxa"/>
            <w:vMerge w:val="continue"/>
            <w:vAlign w:val="center"/>
          </w:tcPr>
          <w:p w14:paraId="5D15D014">
            <w:pPr>
              <w:adjustRightInd w:val="0"/>
              <w:snapToGrid w:val="0"/>
              <w:jc w:val="center"/>
              <w:rPr>
                <w:rFonts w:hint="default"/>
                <w:color w:val="000000" w:themeColor="text1"/>
                <w:szCs w:val="21"/>
                <w14:textFill>
                  <w14:solidFill>
                    <w14:schemeClr w14:val="tx1"/>
                  </w14:solidFill>
                </w14:textFill>
              </w:rPr>
            </w:pPr>
          </w:p>
        </w:tc>
        <w:tc>
          <w:tcPr>
            <w:tcW w:w="1098" w:type="dxa"/>
            <w:vMerge w:val="continue"/>
            <w:vAlign w:val="center"/>
          </w:tcPr>
          <w:p w14:paraId="504AE3A7">
            <w:pPr>
              <w:adjustRightInd w:val="0"/>
              <w:snapToGrid w:val="0"/>
              <w:jc w:val="center"/>
              <w:rPr>
                <w:rFonts w:hint="default"/>
                <w:color w:val="000000" w:themeColor="text1"/>
                <w:szCs w:val="21"/>
                <w14:textFill>
                  <w14:solidFill>
                    <w14:schemeClr w14:val="tx1"/>
                  </w14:solidFill>
                </w14:textFill>
              </w:rPr>
            </w:pPr>
          </w:p>
        </w:tc>
      </w:tr>
      <w:tr w14:paraId="6CB8E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344" w:hRule="atLeast"/>
          <w:jc w:val="center"/>
        </w:trPr>
        <w:tc>
          <w:tcPr>
            <w:tcW w:w="667" w:type="dxa"/>
            <w:vMerge w:val="continue"/>
            <w:vAlign w:val="center"/>
          </w:tcPr>
          <w:p w14:paraId="3E73DA25">
            <w:pPr>
              <w:adjustRightInd w:val="0"/>
              <w:snapToGrid w:val="0"/>
              <w:jc w:val="center"/>
              <w:rPr>
                <w:rFonts w:hint="default"/>
                <w:color w:val="000000" w:themeColor="text1"/>
                <w:szCs w:val="21"/>
                <w14:textFill>
                  <w14:solidFill>
                    <w14:schemeClr w14:val="tx1"/>
                  </w14:solidFill>
                </w14:textFill>
              </w:rPr>
            </w:pPr>
          </w:p>
        </w:tc>
        <w:tc>
          <w:tcPr>
            <w:tcW w:w="921" w:type="dxa"/>
            <w:vMerge w:val="continue"/>
            <w:vAlign w:val="center"/>
          </w:tcPr>
          <w:p w14:paraId="0279D37A">
            <w:pPr>
              <w:adjustRightInd w:val="0"/>
              <w:snapToGrid w:val="0"/>
              <w:jc w:val="center"/>
              <w:rPr>
                <w:rFonts w:hint="default"/>
                <w:color w:val="000000" w:themeColor="text1"/>
                <w:szCs w:val="21"/>
                <w14:textFill>
                  <w14:solidFill>
                    <w14:schemeClr w14:val="tx1"/>
                  </w14:solidFill>
                </w14:textFill>
              </w:rPr>
            </w:pPr>
          </w:p>
        </w:tc>
        <w:tc>
          <w:tcPr>
            <w:tcW w:w="667" w:type="dxa"/>
            <w:vAlign w:val="center"/>
          </w:tcPr>
          <w:p w14:paraId="2A2FD0E4">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2</w:t>
            </w:r>
          </w:p>
        </w:tc>
        <w:tc>
          <w:tcPr>
            <w:tcW w:w="1488" w:type="dxa"/>
            <w:vAlign w:val="center"/>
          </w:tcPr>
          <w:p w14:paraId="28421085">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60.98</w:t>
            </w:r>
          </w:p>
        </w:tc>
        <w:tc>
          <w:tcPr>
            <w:tcW w:w="844" w:type="dxa"/>
            <w:vMerge w:val="continue"/>
            <w:vAlign w:val="center"/>
          </w:tcPr>
          <w:p w14:paraId="3F3D3CA1">
            <w:pPr>
              <w:adjustRightInd w:val="0"/>
              <w:snapToGrid w:val="0"/>
              <w:jc w:val="center"/>
              <w:rPr>
                <w:rFonts w:hint="default"/>
                <w:color w:val="000000" w:themeColor="text1"/>
                <w:szCs w:val="21"/>
                <w14:textFill>
                  <w14:solidFill>
                    <w14:schemeClr w14:val="tx1"/>
                  </w14:solidFill>
                </w14:textFill>
              </w:rPr>
            </w:pPr>
          </w:p>
        </w:tc>
        <w:tc>
          <w:tcPr>
            <w:tcW w:w="1392" w:type="dxa"/>
            <w:vMerge w:val="continue"/>
            <w:vAlign w:val="center"/>
          </w:tcPr>
          <w:p w14:paraId="2AF66DEB">
            <w:pPr>
              <w:adjustRightInd w:val="0"/>
              <w:snapToGrid w:val="0"/>
              <w:jc w:val="center"/>
              <w:rPr>
                <w:rFonts w:hint="default"/>
                <w:color w:val="000000" w:themeColor="text1"/>
                <w:szCs w:val="21"/>
                <w14:textFill>
                  <w14:solidFill>
                    <w14:schemeClr w14:val="tx1"/>
                  </w14:solidFill>
                </w14:textFill>
              </w:rPr>
            </w:pPr>
          </w:p>
        </w:tc>
        <w:tc>
          <w:tcPr>
            <w:tcW w:w="1394" w:type="dxa"/>
            <w:vMerge w:val="continue"/>
            <w:vAlign w:val="center"/>
          </w:tcPr>
          <w:p w14:paraId="652E4DB1">
            <w:pPr>
              <w:adjustRightInd w:val="0"/>
              <w:snapToGrid w:val="0"/>
              <w:jc w:val="center"/>
              <w:rPr>
                <w:rFonts w:hint="default"/>
                <w:color w:val="000000" w:themeColor="text1"/>
                <w:szCs w:val="21"/>
                <w14:textFill>
                  <w14:solidFill>
                    <w14:schemeClr w14:val="tx1"/>
                  </w14:solidFill>
                </w14:textFill>
              </w:rPr>
            </w:pPr>
          </w:p>
        </w:tc>
        <w:tc>
          <w:tcPr>
            <w:tcW w:w="1098" w:type="dxa"/>
            <w:vMerge w:val="continue"/>
            <w:vAlign w:val="center"/>
          </w:tcPr>
          <w:p w14:paraId="1A5C4FE1">
            <w:pPr>
              <w:adjustRightInd w:val="0"/>
              <w:snapToGrid w:val="0"/>
              <w:jc w:val="center"/>
              <w:rPr>
                <w:rFonts w:hint="default"/>
                <w:color w:val="000000" w:themeColor="text1"/>
                <w:szCs w:val="21"/>
                <w14:textFill>
                  <w14:solidFill>
                    <w14:schemeClr w14:val="tx1"/>
                  </w14:solidFill>
                </w14:textFill>
              </w:rPr>
            </w:pPr>
          </w:p>
        </w:tc>
      </w:tr>
    </w:tbl>
    <w:p w14:paraId="72C546D1">
      <w:pPr>
        <w:spacing w:line="560" w:lineRule="exact"/>
        <w:rPr>
          <w:rFonts w:eastAsia="仿宋_GB2312" w:cs="Arial"/>
          <w:color w:val="000000" w:themeColor="text1"/>
          <w:sz w:val="28"/>
          <w:szCs w:val="28"/>
          <w14:textFill>
            <w14:solidFill>
              <w14:schemeClr w14:val="tx1"/>
            </w14:solidFill>
          </w14:textFill>
        </w:rPr>
      </w:pPr>
    </w:p>
    <w:p w14:paraId="0A23D053">
      <w:pPr>
        <w:spacing w:line="360" w:lineRule="auto"/>
        <w:jc w:val="center"/>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表</w:t>
      </w:r>
      <w:r>
        <w:rPr>
          <w:b/>
          <w:color w:val="000000" w:themeColor="text1"/>
          <w:sz w:val="24"/>
          <w14:textFill>
            <w14:solidFill>
              <w14:schemeClr w14:val="tx1"/>
            </w14:solidFill>
          </w14:textFill>
        </w:rPr>
        <w:t xml:space="preserve">4 </w:t>
      </w:r>
      <w:r>
        <w:rPr>
          <w:rFonts w:hint="eastAsia"/>
          <w:b/>
          <w:color w:val="000000" w:themeColor="text1"/>
          <w:sz w:val="24"/>
          <w:lang w:eastAsia="zh-CN"/>
          <w14:textFill>
            <w14:solidFill>
              <w14:schemeClr w14:val="tx1"/>
            </w14:solidFill>
          </w14:textFill>
        </w:rPr>
        <w:t>柔性包装</w:t>
      </w:r>
      <w:r>
        <w:rPr>
          <w:rFonts w:hint="eastAsia"/>
          <w:b/>
          <w:color w:val="000000" w:themeColor="text1"/>
          <w:sz w:val="24"/>
          <w:lang w:val="en-US" w:eastAsia="zh-CN"/>
          <w14:textFill>
            <w14:solidFill>
              <w14:schemeClr w14:val="tx1"/>
            </w14:solidFill>
          </w14:textFill>
        </w:rPr>
        <w:t>4</w:t>
      </w:r>
      <w:r>
        <w:rPr>
          <w:rFonts w:hint="eastAsia" w:ascii="宋体" w:hAnsi="宋体"/>
          <w:b/>
          <w:color w:val="000000" w:themeColor="text1"/>
          <w:sz w:val="24"/>
          <w14:textFill>
            <w14:solidFill>
              <w14:schemeClr w14:val="tx1"/>
            </w14:solidFill>
          </w14:textFill>
        </w:rPr>
        <w:t>不同位置样品总固物含量测定值</w:t>
      </w:r>
    </w:p>
    <w:p w14:paraId="7EFB745B">
      <w:pPr>
        <w:overflowPunct w:val="0"/>
        <w:adjustRightInd w:val="0"/>
        <w:jc w:val="righ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单位：</w:t>
      </w:r>
      <w:r>
        <w:rPr>
          <w:rFonts w:ascii="宋体" w:hAnsi="宋体" w:cs="宋体"/>
          <w:color w:val="000000" w:themeColor="text1"/>
          <w:kern w:val="0"/>
          <w:szCs w:val="21"/>
          <w14:textFill>
            <w14:solidFill>
              <w14:schemeClr w14:val="tx1"/>
            </w14:solidFill>
          </w14:textFill>
        </w:rPr>
        <w:t>%</w:t>
      </w:r>
    </w:p>
    <w:tbl>
      <w:tblPr>
        <w:tblStyle w:val="11"/>
        <w:tblW w:w="84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32" w:type="dxa"/>
          <w:left w:w="64" w:type="dxa"/>
          <w:bottom w:w="32" w:type="dxa"/>
          <w:right w:w="64" w:type="dxa"/>
        </w:tblCellMar>
      </w:tblPr>
      <w:tblGrid>
        <w:gridCol w:w="667"/>
        <w:gridCol w:w="921"/>
        <w:gridCol w:w="667"/>
        <w:gridCol w:w="1488"/>
        <w:gridCol w:w="844"/>
        <w:gridCol w:w="1392"/>
        <w:gridCol w:w="1394"/>
        <w:gridCol w:w="1098"/>
      </w:tblGrid>
      <w:tr w14:paraId="2B41C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1588" w:type="dxa"/>
            <w:gridSpan w:val="2"/>
            <w:vMerge w:val="restart"/>
            <w:vAlign w:val="center"/>
          </w:tcPr>
          <w:p w14:paraId="5FC81BE9">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样品</w:t>
            </w:r>
          </w:p>
        </w:tc>
        <w:tc>
          <w:tcPr>
            <w:tcW w:w="667" w:type="dxa"/>
            <w:vMerge w:val="restart"/>
            <w:vAlign w:val="center"/>
          </w:tcPr>
          <w:p w14:paraId="392972FD">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测定</w:t>
            </w:r>
          </w:p>
          <w:p w14:paraId="440089D8">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次数</w:t>
            </w:r>
          </w:p>
        </w:tc>
        <w:tc>
          <w:tcPr>
            <w:tcW w:w="6216" w:type="dxa"/>
            <w:gridSpan w:val="5"/>
            <w:vAlign w:val="center"/>
          </w:tcPr>
          <w:p w14:paraId="3FE76FD5">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总固体含量（%）</w:t>
            </w:r>
          </w:p>
        </w:tc>
      </w:tr>
      <w:tr w14:paraId="4931B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1588" w:type="dxa"/>
            <w:gridSpan w:val="2"/>
            <w:vMerge w:val="continue"/>
            <w:vAlign w:val="center"/>
          </w:tcPr>
          <w:p w14:paraId="28352675">
            <w:pPr>
              <w:adjustRightInd w:val="0"/>
              <w:snapToGrid w:val="0"/>
              <w:jc w:val="center"/>
              <w:rPr>
                <w:rFonts w:hint="default"/>
                <w:bCs/>
                <w:color w:val="000000" w:themeColor="text1"/>
                <w:szCs w:val="21"/>
                <w14:textFill>
                  <w14:solidFill>
                    <w14:schemeClr w14:val="tx1"/>
                  </w14:solidFill>
                </w14:textFill>
              </w:rPr>
            </w:pPr>
          </w:p>
        </w:tc>
        <w:tc>
          <w:tcPr>
            <w:tcW w:w="667" w:type="dxa"/>
            <w:vMerge w:val="continue"/>
            <w:vAlign w:val="center"/>
          </w:tcPr>
          <w:p w14:paraId="230E3738">
            <w:pPr>
              <w:adjustRightInd w:val="0"/>
              <w:snapToGrid w:val="0"/>
              <w:jc w:val="center"/>
              <w:rPr>
                <w:rFonts w:hint="default"/>
                <w:bCs/>
                <w:color w:val="000000" w:themeColor="text1"/>
                <w:szCs w:val="21"/>
                <w14:textFill>
                  <w14:solidFill>
                    <w14:schemeClr w14:val="tx1"/>
                  </w14:solidFill>
                </w14:textFill>
              </w:rPr>
            </w:pPr>
          </w:p>
        </w:tc>
        <w:tc>
          <w:tcPr>
            <w:tcW w:w="1488" w:type="dxa"/>
            <w:vAlign w:val="center"/>
          </w:tcPr>
          <w:p w14:paraId="13AB3165">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单次测定</w:t>
            </w:r>
          </w:p>
          <w:p w14:paraId="65663013">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结果</w:t>
            </w:r>
          </w:p>
        </w:tc>
        <w:tc>
          <w:tcPr>
            <w:tcW w:w="844" w:type="dxa"/>
            <w:vAlign w:val="center"/>
          </w:tcPr>
          <w:p w14:paraId="2F111A2A">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平均值</w:t>
            </w:r>
          </w:p>
        </w:tc>
        <w:tc>
          <w:tcPr>
            <w:tcW w:w="1392" w:type="dxa"/>
            <w:vAlign w:val="center"/>
          </w:tcPr>
          <w:p w14:paraId="0EA3D527">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差值</w:t>
            </w:r>
            <w:r>
              <w:rPr>
                <w:rFonts w:hint="default"/>
                <w:bCs/>
                <w:color w:val="000000" w:themeColor="text1"/>
                <w:szCs w:val="21"/>
                <w:vertAlign w:val="subscript"/>
                <w14:textFill>
                  <w14:solidFill>
                    <w14:schemeClr w14:val="tx1"/>
                  </w14:solidFill>
                </w14:textFill>
              </w:rPr>
              <w:t>（上-中）</w:t>
            </w:r>
          </w:p>
        </w:tc>
        <w:tc>
          <w:tcPr>
            <w:tcW w:w="1394" w:type="dxa"/>
            <w:vAlign w:val="center"/>
          </w:tcPr>
          <w:p w14:paraId="12F2FA83">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差值</w:t>
            </w:r>
            <w:r>
              <w:rPr>
                <w:rFonts w:hint="default"/>
                <w:bCs/>
                <w:color w:val="000000" w:themeColor="text1"/>
                <w:szCs w:val="21"/>
                <w:vertAlign w:val="subscript"/>
                <w14:textFill>
                  <w14:solidFill>
                    <w14:schemeClr w14:val="tx1"/>
                  </w14:solidFill>
                </w14:textFill>
              </w:rPr>
              <w:t>（中-下）</w:t>
            </w:r>
          </w:p>
        </w:tc>
        <w:tc>
          <w:tcPr>
            <w:tcW w:w="1098" w:type="dxa"/>
            <w:vAlign w:val="center"/>
          </w:tcPr>
          <w:p w14:paraId="213FB21E">
            <w:pPr>
              <w:adjustRightInd w:val="0"/>
              <w:snapToGrid w:val="0"/>
              <w:jc w:val="center"/>
              <w:rPr>
                <w:rFonts w:hint="default"/>
                <w:bCs/>
                <w:color w:val="000000" w:themeColor="text1"/>
                <w:szCs w:val="21"/>
                <w14:textFill>
                  <w14:solidFill>
                    <w14:schemeClr w14:val="tx1"/>
                  </w14:solidFill>
                </w14:textFill>
              </w:rPr>
            </w:pPr>
            <w:r>
              <w:rPr>
                <w:rFonts w:hint="default"/>
                <w:bCs/>
                <w:color w:val="000000" w:themeColor="text1"/>
                <w:szCs w:val="21"/>
                <w14:textFill>
                  <w14:solidFill>
                    <w14:schemeClr w14:val="tx1"/>
                  </w14:solidFill>
                </w14:textFill>
              </w:rPr>
              <w:t>差值</w:t>
            </w:r>
            <w:r>
              <w:rPr>
                <w:rFonts w:hint="default"/>
                <w:bCs/>
                <w:color w:val="000000" w:themeColor="text1"/>
                <w:szCs w:val="21"/>
                <w:vertAlign w:val="subscript"/>
                <w14:textFill>
                  <w14:solidFill>
                    <w14:schemeClr w14:val="tx1"/>
                  </w14:solidFill>
                </w14:textFill>
              </w:rPr>
              <w:t>（上-下）</w:t>
            </w:r>
          </w:p>
        </w:tc>
      </w:tr>
      <w:tr w14:paraId="52BED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667" w:type="dxa"/>
            <w:vMerge w:val="restart"/>
            <w:vAlign w:val="center"/>
          </w:tcPr>
          <w:p w14:paraId="4DFC3767">
            <w:pPr>
              <w:adjustRightInd w:val="0"/>
              <w:snapToGrid w:val="0"/>
              <w:jc w:val="center"/>
              <w:rPr>
                <w:rFonts w:hint="default"/>
                <w:color w:val="000000" w:themeColor="text1"/>
                <w:szCs w:val="21"/>
                <w14:textFill>
                  <w14:solidFill>
                    <w14:schemeClr w14:val="tx1"/>
                  </w14:solidFill>
                </w14:textFill>
              </w:rPr>
            </w:pPr>
            <w:r>
              <w:rPr>
                <w:rFonts w:hint="eastAsia"/>
                <w:color w:val="000000" w:themeColor="text1"/>
                <w:szCs w:val="21"/>
                <w:lang w:eastAsia="zh-CN"/>
                <w14:textFill>
                  <w14:solidFill>
                    <w14:schemeClr w14:val="tx1"/>
                  </w14:solidFill>
                </w14:textFill>
              </w:rPr>
              <w:t>柔性包装</w:t>
            </w:r>
            <w:r>
              <w:rPr>
                <w:rFonts w:hint="eastAsia"/>
                <w:color w:val="000000" w:themeColor="text1"/>
                <w:szCs w:val="21"/>
                <w:lang w:val="en-US" w:eastAsia="zh-CN"/>
                <w14:textFill>
                  <w14:solidFill>
                    <w14:schemeClr w14:val="tx1"/>
                  </w14:solidFill>
                </w14:textFill>
              </w:rPr>
              <w:t>4</w:t>
            </w:r>
          </w:p>
        </w:tc>
        <w:tc>
          <w:tcPr>
            <w:tcW w:w="921" w:type="dxa"/>
            <w:vMerge w:val="restart"/>
            <w:vAlign w:val="center"/>
          </w:tcPr>
          <w:p w14:paraId="5DE274B0">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上层</w:t>
            </w:r>
          </w:p>
          <w:p w14:paraId="1770F8DB">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胶乳</w:t>
            </w:r>
          </w:p>
        </w:tc>
        <w:tc>
          <w:tcPr>
            <w:tcW w:w="667" w:type="dxa"/>
            <w:vAlign w:val="center"/>
          </w:tcPr>
          <w:p w14:paraId="65134412">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1</w:t>
            </w:r>
          </w:p>
        </w:tc>
        <w:tc>
          <w:tcPr>
            <w:tcW w:w="1488" w:type="dxa"/>
            <w:vAlign w:val="center"/>
          </w:tcPr>
          <w:p w14:paraId="3829AE46">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61.01</w:t>
            </w:r>
          </w:p>
        </w:tc>
        <w:tc>
          <w:tcPr>
            <w:tcW w:w="844" w:type="dxa"/>
            <w:vMerge w:val="restart"/>
            <w:vAlign w:val="center"/>
          </w:tcPr>
          <w:p w14:paraId="023041AD">
            <w:pPr>
              <w:widowControl/>
              <w:snapToGrid w:val="0"/>
              <w:jc w:val="center"/>
              <w:textAlignment w:val="center"/>
              <w:rPr>
                <w:rFonts w:hint="default"/>
                <w:color w:val="000000" w:themeColor="text1"/>
                <w:szCs w:val="21"/>
                <w14:textFill>
                  <w14:solidFill>
                    <w14:schemeClr w14:val="tx1"/>
                  </w14:solidFill>
                </w14:textFill>
              </w:rPr>
            </w:pPr>
            <w:r>
              <w:rPr>
                <w:rFonts w:hint="default"/>
                <w:color w:val="000000" w:themeColor="text1"/>
                <w:kern w:val="0"/>
                <w:szCs w:val="21"/>
                <w:lang w:bidi="ar"/>
                <w14:textFill>
                  <w14:solidFill>
                    <w14:schemeClr w14:val="tx1"/>
                  </w14:solidFill>
                </w14:textFill>
              </w:rPr>
              <w:t xml:space="preserve">61.00 </w:t>
            </w:r>
          </w:p>
        </w:tc>
        <w:tc>
          <w:tcPr>
            <w:tcW w:w="1392" w:type="dxa"/>
            <w:vMerge w:val="restart"/>
            <w:vAlign w:val="center"/>
          </w:tcPr>
          <w:p w14:paraId="7406C09E">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-0.01</w:t>
            </w:r>
          </w:p>
        </w:tc>
        <w:tc>
          <w:tcPr>
            <w:tcW w:w="1394" w:type="dxa"/>
            <w:vMerge w:val="restart"/>
            <w:vAlign w:val="center"/>
          </w:tcPr>
          <w:p w14:paraId="30601093">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-0.04</w:t>
            </w:r>
          </w:p>
        </w:tc>
        <w:tc>
          <w:tcPr>
            <w:tcW w:w="1098" w:type="dxa"/>
            <w:vMerge w:val="restart"/>
            <w:vAlign w:val="center"/>
          </w:tcPr>
          <w:p w14:paraId="37A8605B">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-0.05</w:t>
            </w:r>
          </w:p>
        </w:tc>
      </w:tr>
      <w:tr w14:paraId="0A786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667" w:type="dxa"/>
            <w:vMerge w:val="continue"/>
            <w:vAlign w:val="center"/>
          </w:tcPr>
          <w:p w14:paraId="3140C91D">
            <w:pPr>
              <w:adjustRightInd w:val="0"/>
              <w:snapToGrid w:val="0"/>
              <w:jc w:val="center"/>
              <w:rPr>
                <w:rFonts w:hint="default"/>
                <w:color w:val="000000" w:themeColor="text1"/>
                <w:szCs w:val="21"/>
                <w14:textFill>
                  <w14:solidFill>
                    <w14:schemeClr w14:val="tx1"/>
                  </w14:solidFill>
                </w14:textFill>
              </w:rPr>
            </w:pPr>
          </w:p>
        </w:tc>
        <w:tc>
          <w:tcPr>
            <w:tcW w:w="921" w:type="dxa"/>
            <w:vMerge w:val="continue"/>
            <w:vAlign w:val="center"/>
          </w:tcPr>
          <w:p w14:paraId="266F2B42">
            <w:pPr>
              <w:adjustRightInd w:val="0"/>
              <w:snapToGrid w:val="0"/>
              <w:jc w:val="center"/>
              <w:rPr>
                <w:rFonts w:hint="default"/>
                <w:color w:val="000000" w:themeColor="text1"/>
                <w:szCs w:val="21"/>
                <w14:textFill>
                  <w14:solidFill>
                    <w14:schemeClr w14:val="tx1"/>
                  </w14:solidFill>
                </w14:textFill>
              </w:rPr>
            </w:pPr>
          </w:p>
        </w:tc>
        <w:tc>
          <w:tcPr>
            <w:tcW w:w="667" w:type="dxa"/>
            <w:vAlign w:val="center"/>
          </w:tcPr>
          <w:p w14:paraId="0EB00BF9">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2</w:t>
            </w:r>
          </w:p>
        </w:tc>
        <w:tc>
          <w:tcPr>
            <w:tcW w:w="1488" w:type="dxa"/>
            <w:vAlign w:val="center"/>
          </w:tcPr>
          <w:p w14:paraId="6309AEC6">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60.99</w:t>
            </w:r>
          </w:p>
        </w:tc>
        <w:tc>
          <w:tcPr>
            <w:tcW w:w="844" w:type="dxa"/>
            <w:vMerge w:val="continue"/>
            <w:vAlign w:val="center"/>
          </w:tcPr>
          <w:p w14:paraId="7813541B">
            <w:pPr>
              <w:adjustRightInd w:val="0"/>
              <w:snapToGrid w:val="0"/>
              <w:jc w:val="center"/>
              <w:rPr>
                <w:rFonts w:hint="default"/>
                <w:color w:val="000000" w:themeColor="text1"/>
                <w:szCs w:val="21"/>
                <w14:textFill>
                  <w14:solidFill>
                    <w14:schemeClr w14:val="tx1"/>
                  </w14:solidFill>
                </w14:textFill>
              </w:rPr>
            </w:pPr>
          </w:p>
        </w:tc>
        <w:tc>
          <w:tcPr>
            <w:tcW w:w="1392" w:type="dxa"/>
            <w:vMerge w:val="continue"/>
            <w:vAlign w:val="center"/>
          </w:tcPr>
          <w:p w14:paraId="7A46BE35">
            <w:pPr>
              <w:adjustRightInd w:val="0"/>
              <w:snapToGrid w:val="0"/>
              <w:jc w:val="center"/>
              <w:rPr>
                <w:rFonts w:hint="default"/>
                <w:color w:val="000000" w:themeColor="text1"/>
                <w:szCs w:val="21"/>
                <w14:textFill>
                  <w14:solidFill>
                    <w14:schemeClr w14:val="tx1"/>
                  </w14:solidFill>
                </w14:textFill>
              </w:rPr>
            </w:pPr>
          </w:p>
        </w:tc>
        <w:tc>
          <w:tcPr>
            <w:tcW w:w="1394" w:type="dxa"/>
            <w:vMerge w:val="continue"/>
            <w:vAlign w:val="center"/>
          </w:tcPr>
          <w:p w14:paraId="16009959">
            <w:pPr>
              <w:adjustRightInd w:val="0"/>
              <w:snapToGrid w:val="0"/>
              <w:jc w:val="center"/>
              <w:rPr>
                <w:rFonts w:hint="default"/>
                <w:color w:val="000000" w:themeColor="text1"/>
                <w:szCs w:val="21"/>
                <w14:textFill>
                  <w14:solidFill>
                    <w14:schemeClr w14:val="tx1"/>
                  </w14:solidFill>
                </w14:textFill>
              </w:rPr>
            </w:pPr>
          </w:p>
        </w:tc>
        <w:tc>
          <w:tcPr>
            <w:tcW w:w="1098" w:type="dxa"/>
            <w:vMerge w:val="continue"/>
            <w:vAlign w:val="center"/>
          </w:tcPr>
          <w:p w14:paraId="3BEC4F1E">
            <w:pPr>
              <w:adjustRightInd w:val="0"/>
              <w:snapToGrid w:val="0"/>
              <w:jc w:val="center"/>
              <w:rPr>
                <w:rFonts w:hint="default"/>
                <w:color w:val="000000" w:themeColor="text1"/>
                <w:szCs w:val="21"/>
                <w14:textFill>
                  <w14:solidFill>
                    <w14:schemeClr w14:val="tx1"/>
                  </w14:solidFill>
                </w14:textFill>
              </w:rPr>
            </w:pPr>
          </w:p>
        </w:tc>
      </w:tr>
      <w:tr w14:paraId="5E033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667" w:type="dxa"/>
            <w:vMerge w:val="continue"/>
            <w:vAlign w:val="center"/>
          </w:tcPr>
          <w:p w14:paraId="1C78EDBB">
            <w:pPr>
              <w:adjustRightInd w:val="0"/>
              <w:snapToGrid w:val="0"/>
              <w:jc w:val="center"/>
              <w:rPr>
                <w:rFonts w:hint="default"/>
                <w:color w:val="000000" w:themeColor="text1"/>
                <w:szCs w:val="21"/>
                <w14:textFill>
                  <w14:solidFill>
                    <w14:schemeClr w14:val="tx1"/>
                  </w14:solidFill>
                </w14:textFill>
              </w:rPr>
            </w:pPr>
          </w:p>
        </w:tc>
        <w:tc>
          <w:tcPr>
            <w:tcW w:w="921" w:type="dxa"/>
            <w:vMerge w:val="restart"/>
            <w:vAlign w:val="center"/>
          </w:tcPr>
          <w:p w14:paraId="4C061E2E">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中层</w:t>
            </w:r>
          </w:p>
          <w:p w14:paraId="5B01C686">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胶乳</w:t>
            </w:r>
          </w:p>
        </w:tc>
        <w:tc>
          <w:tcPr>
            <w:tcW w:w="667" w:type="dxa"/>
            <w:vAlign w:val="center"/>
          </w:tcPr>
          <w:p w14:paraId="28A16231">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1</w:t>
            </w:r>
          </w:p>
        </w:tc>
        <w:tc>
          <w:tcPr>
            <w:tcW w:w="1488" w:type="dxa"/>
            <w:vAlign w:val="center"/>
          </w:tcPr>
          <w:p w14:paraId="23500349">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61.00</w:t>
            </w:r>
          </w:p>
        </w:tc>
        <w:tc>
          <w:tcPr>
            <w:tcW w:w="844" w:type="dxa"/>
            <w:vMerge w:val="restart"/>
            <w:vAlign w:val="center"/>
          </w:tcPr>
          <w:p w14:paraId="4EBCEB4E">
            <w:pPr>
              <w:widowControl/>
              <w:snapToGrid w:val="0"/>
              <w:jc w:val="center"/>
              <w:textAlignment w:val="center"/>
              <w:rPr>
                <w:rFonts w:hint="default"/>
                <w:color w:val="000000" w:themeColor="text1"/>
                <w:szCs w:val="21"/>
                <w14:textFill>
                  <w14:solidFill>
                    <w14:schemeClr w14:val="tx1"/>
                  </w14:solidFill>
                </w14:textFill>
              </w:rPr>
            </w:pPr>
            <w:r>
              <w:rPr>
                <w:rFonts w:hint="default"/>
                <w:color w:val="000000" w:themeColor="text1"/>
                <w:kern w:val="0"/>
                <w:szCs w:val="21"/>
                <w:lang w:bidi="ar"/>
                <w14:textFill>
                  <w14:solidFill>
                    <w14:schemeClr w14:val="tx1"/>
                  </w14:solidFill>
                </w14:textFill>
              </w:rPr>
              <w:t xml:space="preserve">61.01 </w:t>
            </w:r>
          </w:p>
        </w:tc>
        <w:tc>
          <w:tcPr>
            <w:tcW w:w="1392" w:type="dxa"/>
            <w:vMerge w:val="continue"/>
            <w:vAlign w:val="center"/>
          </w:tcPr>
          <w:p w14:paraId="5599D8E3">
            <w:pPr>
              <w:adjustRightInd w:val="0"/>
              <w:snapToGrid w:val="0"/>
              <w:jc w:val="center"/>
              <w:rPr>
                <w:rFonts w:hint="default"/>
                <w:color w:val="000000" w:themeColor="text1"/>
                <w:szCs w:val="21"/>
                <w14:textFill>
                  <w14:solidFill>
                    <w14:schemeClr w14:val="tx1"/>
                  </w14:solidFill>
                </w14:textFill>
              </w:rPr>
            </w:pPr>
          </w:p>
        </w:tc>
        <w:tc>
          <w:tcPr>
            <w:tcW w:w="1394" w:type="dxa"/>
            <w:vMerge w:val="continue"/>
            <w:vAlign w:val="center"/>
          </w:tcPr>
          <w:p w14:paraId="0D40E1BA">
            <w:pPr>
              <w:adjustRightInd w:val="0"/>
              <w:snapToGrid w:val="0"/>
              <w:jc w:val="center"/>
              <w:rPr>
                <w:rFonts w:hint="default"/>
                <w:color w:val="000000" w:themeColor="text1"/>
                <w:szCs w:val="21"/>
                <w14:textFill>
                  <w14:solidFill>
                    <w14:schemeClr w14:val="tx1"/>
                  </w14:solidFill>
                </w14:textFill>
              </w:rPr>
            </w:pPr>
          </w:p>
        </w:tc>
        <w:tc>
          <w:tcPr>
            <w:tcW w:w="1098" w:type="dxa"/>
            <w:vMerge w:val="continue"/>
            <w:vAlign w:val="center"/>
          </w:tcPr>
          <w:p w14:paraId="3E4736FC">
            <w:pPr>
              <w:adjustRightInd w:val="0"/>
              <w:snapToGrid w:val="0"/>
              <w:jc w:val="center"/>
              <w:rPr>
                <w:rFonts w:hint="default"/>
                <w:color w:val="000000" w:themeColor="text1"/>
                <w:szCs w:val="21"/>
                <w14:textFill>
                  <w14:solidFill>
                    <w14:schemeClr w14:val="tx1"/>
                  </w14:solidFill>
                </w14:textFill>
              </w:rPr>
            </w:pPr>
          </w:p>
        </w:tc>
      </w:tr>
      <w:tr w14:paraId="55559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667" w:type="dxa"/>
            <w:vMerge w:val="continue"/>
            <w:vAlign w:val="center"/>
          </w:tcPr>
          <w:p w14:paraId="4FAE1E21">
            <w:pPr>
              <w:adjustRightInd w:val="0"/>
              <w:snapToGrid w:val="0"/>
              <w:jc w:val="center"/>
              <w:rPr>
                <w:rFonts w:hint="default"/>
                <w:color w:val="000000" w:themeColor="text1"/>
                <w:szCs w:val="21"/>
                <w14:textFill>
                  <w14:solidFill>
                    <w14:schemeClr w14:val="tx1"/>
                  </w14:solidFill>
                </w14:textFill>
              </w:rPr>
            </w:pPr>
          </w:p>
        </w:tc>
        <w:tc>
          <w:tcPr>
            <w:tcW w:w="921" w:type="dxa"/>
            <w:vMerge w:val="continue"/>
            <w:vAlign w:val="center"/>
          </w:tcPr>
          <w:p w14:paraId="4C4DE87B">
            <w:pPr>
              <w:adjustRightInd w:val="0"/>
              <w:snapToGrid w:val="0"/>
              <w:jc w:val="center"/>
              <w:rPr>
                <w:rFonts w:hint="default"/>
                <w:color w:val="000000" w:themeColor="text1"/>
                <w:szCs w:val="21"/>
                <w14:textFill>
                  <w14:solidFill>
                    <w14:schemeClr w14:val="tx1"/>
                  </w14:solidFill>
                </w14:textFill>
              </w:rPr>
            </w:pPr>
          </w:p>
        </w:tc>
        <w:tc>
          <w:tcPr>
            <w:tcW w:w="667" w:type="dxa"/>
            <w:vAlign w:val="center"/>
          </w:tcPr>
          <w:p w14:paraId="37B9D35D">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2</w:t>
            </w:r>
          </w:p>
        </w:tc>
        <w:tc>
          <w:tcPr>
            <w:tcW w:w="1488" w:type="dxa"/>
            <w:vAlign w:val="center"/>
          </w:tcPr>
          <w:p w14:paraId="48EC3398">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61.01</w:t>
            </w:r>
          </w:p>
        </w:tc>
        <w:tc>
          <w:tcPr>
            <w:tcW w:w="844" w:type="dxa"/>
            <w:vMerge w:val="continue"/>
            <w:vAlign w:val="center"/>
          </w:tcPr>
          <w:p w14:paraId="49360435">
            <w:pPr>
              <w:adjustRightInd w:val="0"/>
              <w:snapToGrid w:val="0"/>
              <w:jc w:val="center"/>
              <w:rPr>
                <w:rFonts w:hint="default"/>
                <w:color w:val="000000" w:themeColor="text1"/>
                <w:szCs w:val="21"/>
                <w14:textFill>
                  <w14:solidFill>
                    <w14:schemeClr w14:val="tx1"/>
                  </w14:solidFill>
                </w14:textFill>
              </w:rPr>
            </w:pPr>
          </w:p>
        </w:tc>
        <w:tc>
          <w:tcPr>
            <w:tcW w:w="1392" w:type="dxa"/>
            <w:vMerge w:val="continue"/>
            <w:vAlign w:val="center"/>
          </w:tcPr>
          <w:p w14:paraId="796B6EBE">
            <w:pPr>
              <w:adjustRightInd w:val="0"/>
              <w:snapToGrid w:val="0"/>
              <w:jc w:val="center"/>
              <w:rPr>
                <w:rFonts w:hint="default"/>
                <w:color w:val="000000" w:themeColor="text1"/>
                <w:szCs w:val="21"/>
                <w14:textFill>
                  <w14:solidFill>
                    <w14:schemeClr w14:val="tx1"/>
                  </w14:solidFill>
                </w14:textFill>
              </w:rPr>
            </w:pPr>
          </w:p>
        </w:tc>
        <w:tc>
          <w:tcPr>
            <w:tcW w:w="1394" w:type="dxa"/>
            <w:vMerge w:val="continue"/>
            <w:vAlign w:val="center"/>
          </w:tcPr>
          <w:p w14:paraId="7EC1D251">
            <w:pPr>
              <w:adjustRightInd w:val="0"/>
              <w:snapToGrid w:val="0"/>
              <w:jc w:val="center"/>
              <w:rPr>
                <w:rFonts w:hint="default"/>
                <w:color w:val="000000" w:themeColor="text1"/>
                <w:szCs w:val="21"/>
                <w14:textFill>
                  <w14:solidFill>
                    <w14:schemeClr w14:val="tx1"/>
                  </w14:solidFill>
                </w14:textFill>
              </w:rPr>
            </w:pPr>
          </w:p>
        </w:tc>
        <w:tc>
          <w:tcPr>
            <w:tcW w:w="1098" w:type="dxa"/>
            <w:vMerge w:val="continue"/>
            <w:vAlign w:val="center"/>
          </w:tcPr>
          <w:p w14:paraId="66837E3A">
            <w:pPr>
              <w:adjustRightInd w:val="0"/>
              <w:snapToGrid w:val="0"/>
              <w:jc w:val="center"/>
              <w:rPr>
                <w:rFonts w:hint="default"/>
                <w:color w:val="000000" w:themeColor="text1"/>
                <w:szCs w:val="21"/>
                <w14:textFill>
                  <w14:solidFill>
                    <w14:schemeClr w14:val="tx1"/>
                  </w14:solidFill>
                </w14:textFill>
              </w:rPr>
            </w:pPr>
          </w:p>
        </w:tc>
      </w:tr>
      <w:tr w14:paraId="21D84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jc w:val="center"/>
        </w:trPr>
        <w:tc>
          <w:tcPr>
            <w:tcW w:w="667" w:type="dxa"/>
            <w:vMerge w:val="continue"/>
            <w:vAlign w:val="center"/>
          </w:tcPr>
          <w:p w14:paraId="44B4E02D">
            <w:pPr>
              <w:adjustRightInd w:val="0"/>
              <w:snapToGrid w:val="0"/>
              <w:jc w:val="center"/>
              <w:rPr>
                <w:rFonts w:hint="default"/>
                <w:color w:val="000000" w:themeColor="text1"/>
                <w:szCs w:val="21"/>
                <w14:textFill>
                  <w14:solidFill>
                    <w14:schemeClr w14:val="tx1"/>
                  </w14:solidFill>
                </w14:textFill>
              </w:rPr>
            </w:pPr>
          </w:p>
        </w:tc>
        <w:tc>
          <w:tcPr>
            <w:tcW w:w="921" w:type="dxa"/>
            <w:vMerge w:val="restart"/>
            <w:vAlign w:val="center"/>
          </w:tcPr>
          <w:p w14:paraId="2C5A4F35">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下层</w:t>
            </w:r>
          </w:p>
          <w:p w14:paraId="45E4D3FB">
            <w:pPr>
              <w:adjustRightInd w:val="0"/>
              <w:snapToGrid w:val="0"/>
              <w:ind w:firstLine="210" w:firstLineChars="100"/>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胶乳</w:t>
            </w:r>
          </w:p>
        </w:tc>
        <w:tc>
          <w:tcPr>
            <w:tcW w:w="667" w:type="dxa"/>
            <w:vAlign w:val="center"/>
          </w:tcPr>
          <w:p w14:paraId="0D10B590">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1</w:t>
            </w:r>
          </w:p>
        </w:tc>
        <w:tc>
          <w:tcPr>
            <w:tcW w:w="1488" w:type="dxa"/>
            <w:vAlign w:val="center"/>
          </w:tcPr>
          <w:p w14:paraId="16211405">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61.07</w:t>
            </w:r>
          </w:p>
        </w:tc>
        <w:tc>
          <w:tcPr>
            <w:tcW w:w="844" w:type="dxa"/>
            <w:vMerge w:val="restart"/>
            <w:vAlign w:val="center"/>
          </w:tcPr>
          <w:p w14:paraId="53D767A1">
            <w:pPr>
              <w:widowControl/>
              <w:snapToGrid w:val="0"/>
              <w:jc w:val="center"/>
              <w:textAlignment w:val="center"/>
              <w:rPr>
                <w:rFonts w:hint="default"/>
                <w:color w:val="000000" w:themeColor="text1"/>
                <w:szCs w:val="21"/>
                <w14:textFill>
                  <w14:solidFill>
                    <w14:schemeClr w14:val="tx1"/>
                  </w14:solidFill>
                </w14:textFill>
              </w:rPr>
            </w:pPr>
            <w:r>
              <w:rPr>
                <w:rFonts w:hint="default"/>
                <w:color w:val="000000" w:themeColor="text1"/>
                <w:kern w:val="0"/>
                <w:szCs w:val="21"/>
                <w:lang w:bidi="ar"/>
                <w14:textFill>
                  <w14:solidFill>
                    <w14:schemeClr w14:val="tx1"/>
                  </w14:solidFill>
                </w14:textFill>
              </w:rPr>
              <w:t xml:space="preserve">61.05 </w:t>
            </w:r>
          </w:p>
        </w:tc>
        <w:tc>
          <w:tcPr>
            <w:tcW w:w="1392" w:type="dxa"/>
            <w:vMerge w:val="continue"/>
            <w:vAlign w:val="center"/>
          </w:tcPr>
          <w:p w14:paraId="7E90ACA8">
            <w:pPr>
              <w:adjustRightInd w:val="0"/>
              <w:snapToGrid w:val="0"/>
              <w:jc w:val="center"/>
              <w:rPr>
                <w:rFonts w:hint="default"/>
                <w:color w:val="000000" w:themeColor="text1"/>
                <w:szCs w:val="21"/>
                <w14:textFill>
                  <w14:solidFill>
                    <w14:schemeClr w14:val="tx1"/>
                  </w14:solidFill>
                </w14:textFill>
              </w:rPr>
            </w:pPr>
          </w:p>
        </w:tc>
        <w:tc>
          <w:tcPr>
            <w:tcW w:w="1394" w:type="dxa"/>
            <w:vMerge w:val="continue"/>
            <w:vAlign w:val="center"/>
          </w:tcPr>
          <w:p w14:paraId="58D465A6">
            <w:pPr>
              <w:adjustRightInd w:val="0"/>
              <w:snapToGrid w:val="0"/>
              <w:jc w:val="center"/>
              <w:rPr>
                <w:rFonts w:hint="default"/>
                <w:color w:val="000000" w:themeColor="text1"/>
                <w:szCs w:val="21"/>
                <w14:textFill>
                  <w14:solidFill>
                    <w14:schemeClr w14:val="tx1"/>
                  </w14:solidFill>
                </w14:textFill>
              </w:rPr>
            </w:pPr>
          </w:p>
        </w:tc>
        <w:tc>
          <w:tcPr>
            <w:tcW w:w="1098" w:type="dxa"/>
            <w:vMerge w:val="continue"/>
            <w:vAlign w:val="center"/>
          </w:tcPr>
          <w:p w14:paraId="3558EC98">
            <w:pPr>
              <w:adjustRightInd w:val="0"/>
              <w:snapToGrid w:val="0"/>
              <w:jc w:val="center"/>
              <w:rPr>
                <w:rFonts w:hint="default"/>
                <w:color w:val="000000" w:themeColor="text1"/>
                <w:szCs w:val="21"/>
                <w14:textFill>
                  <w14:solidFill>
                    <w14:schemeClr w14:val="tx1"/>
                  </w14:solidFill>
                </w14:textFill>
              </w:rPr>
            </w:pPr>
          </w:p>
        </w:tc>
      </w:tr>
      <w:tr w14:paraId="373A6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2" w:type="dxa"/>
            <w:left w:w="64" w:type="dxa"/>
            <w:bottom w:w="32" w:type="dxa"/>
            <w:right w:w="64" w:type="dxa"/>
          </w:tblCellMar>
        </w:tblPrEx>
        <w:trPr>
          <w:trHeight w:val="344" w:hRule="atLeast"/>
          <w:jc w:val="center"/>
        </w:trPr>
        <w:tc>
          <w:tcPr>
            <w:tcW w:w="667" w:type="dxa"/>
            <w:vMerge w:val="continue"/>
            <w:vAlign w:val="center"/>
          </w:tcPr>
          <w:p w14:paraId="2529033E">
            <w:pPr>
              <w:adjustRightInd w:val="0"/>
              <w:snapToGrid w:val="0"/>
              <w:jc w:val="center"/>
              <w:rPr>
                <w:rFonts w:hint="default"/>
                <w:color w:val="000000" w:themeColor="text1"/>
                <w:szCs w:val="21"/>
                <w14:textFill>
                  <w14:solidFill>
                    <w14:schemeClr w14:val="tx1"/>
                  </w14:solidFill>
                </w14:textFill>
              </w:rPr>
            </w:pPr>
          </w:p>
        </w:tc>
        <w:tc>
          <w:tcPr>
            <w:tcW w:w="921" w:type="dxa"/>
            <w:vMerge w:val="continue"/>
            <w:vAlign w:val="center"/>
          </w:tcPr>
          <w:p w14:paraId="348FE85D">
            <w:pPr>
              <w:adjustRightInd w:val="0"/>
              <w:snapToGrid w:val="0"/>
              <w:jc w:val="center"/>
              <w:rPr>
                <w:rFonts w:hint="default"/>
                <w:color w:val="000000" w:themeColor="text1"/>
                <w:szCs w:val="21"/>
                <w14:textFill>
                  <w14:solidFill>
                    <w14:schemeClr w14:val="tx1"/>
                  </w14:solidFill>
                </w14:textFill>
              </w:rPr>
            </w:pPr>
          </w:p>
        </w:tc>
        <w:tc>
          <w:tcPr>
            <w:tcW w:w="667" w:type="dxa"/>
            <w:vAlign w:val="center"/>
          </w:tcPr>
          <w:p w14:paraId="65BF9795">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2</w:t>
            </w:r>
          </w:p>
        </w:tc>
        <w:tc>
          <w:tcPr>
            <w:tcW w:w="1488" w:type="dxa"/>
            <w:vAlign w:val="center"/>
          </w:tcPr>
          <w:p w14:paraId="0CBC7AB2">
            <w:pPr>
              <w:adjustRightInd w:val="0"/>
              <w:snapToGrid w:val="0"/>
              <w:jc w:val="center"/>
              <w:rPr>
                <w:rFonts w:hint="default"/>
                <w:color w:val="000000" w:themeColor="text1"/>
                <w:szCs w:val="21"/>
                <w14:textFill>
                  <w14:solidFill>
                    <w14:schemeClr w14:val="tx1"/>
                  </w14:solidFill>
                </w14:textFill>
              </w:rPr>
            </w:pPr>
            <w:r>
              <w:rPr>
                <w:rFonts w:hint="default"/>
                <w:color w:val="000000" w:themeColor="text1"/>
                <w:szCs w:val="21"/>
                <w14:textFill>
                  <w14:solidFill>
                    <w14:schemeClr w14:val="tx1"/>
                  </w14:solidFill>
                </w14:textFill>
              </w:rPr>
              <w:t>61.02</w:t>
            </w:r>
          </w:p>
        </w:tc>
        <w:tc>
          <w:tcPr>
            <w:tcW w:w="844" w:type="dxa"/>
            <w:vMerge w:val="continue"/>
            <w:vAlign w:val="center"/>
          </w:tcPr>
          <w:p w14:paraId="4E54FDED">
            <w:pPr>
              <w:adjustRightInd w:val="0"/>
              <w:snapToGrid w:val="0"/>
              <w:jc w:val="center"/>
              <w:rPr>
                <w:rFonts w:hint="default"/>
                <w:color w:val="000000" w:themeColor="text1"/>
                <w:szCs w:val="21"/>
                <w14:textFill>
                  <w14:solidFill>
                    <w14:schemeClr w14:val="tx1"/>
                  </w14:solidFill>
                </w14:textFill>
              </w:rPr>
            </w:pPr>
          </w:p>
        </w:tc>
        <w:tc>
          <w:tcPr>
            <w:tcW w:w="1392" w:type="dxa"/>
            <w:vMerge w:val="continue"/>
            <w:vAlign w:val="center"/>
          </w:tcPr>
          <w:p w14:paraId="5865FB2D">
            <w:pPr>
              <w:adjustRightInd w:val="0"/>
              <w:snapToGrid w:val="0"/>
              <w:jc w:val="center"/>
              <w:rPr>
                <w:rFonts w:hint="default"/>
                <w:color w:val="000000" w:themeColor="text1"/>
                <w:szCs w:val="21"/>
                <w14:textFill>
                  <w14:solidFill>
                    <w14:schemeClr w14:val="tx1"/>
                  </w14:solidFill>
                </w14:textFill>
              </w:rPr>
            </w:pPr>
          </w:p>
        </w:tc>
        <w:tc>
          <w:tcPr>
            <w:tcW w:w="1394" w:type="dxa"/>
            <w:vMerge w:val="continue"/>
            <w:vAlign w:val="center"/>
          </w:tcPr>
          <w:p w14:paraId="06224F7F">
            <w:pPr>
              <w:adjustRightInd w:val="0"/>
              <w:snapToGrid w:val="0"/>
              <w:jc w:val="center"/>
              <w:rPr>
                <w:rFonts w:hint="default"/>
                <w:color w:val="000000" w:themeColor="text1"/>
                <w:szCs w:val="21"/>
                <w14:textFill>
                  <w14:solidFill>
                    <w14:schemeClr w14:val="tx1"/>
                  </w14:solidFill>
                </w14:textFill>
              </w:rPr>
            </w:pPr>
          </w:p>
        </w:tc>
        <w:tc>
          <w:tcPr>
            <w:tcW w:w="1098" w:type="dxa"/>
            <w:vMerge w:val="continue"/>
            <w:vAlign w:val="center"/>
          </w:tcPr>
          <w:p w14:paraId="2EF4E351">
            <w:pPr>
              <w:adjustRightInd w:val="0"/>
              <w:snapToGrid w:val="0"/>
              <w:jc w:val="center"/>
              <w:rPr>
                <w:rFonts w:hint="default"/>
                <w:color w:val="000000" w:themeColor="text1"/>
                <w:szCs w:val="21"/>
                <w14:textFill>
                  <w14:solidFill>
                    <w14:schemeClr w14:val="tx1"/>
                  </w14:solidFill>
                </w14:textFill>
              </w:rPr>
            </w:pPr>
          </w:p>
        </w:tc>
      </w:tr>
    </w:tbl>
    <w:p w14:paraId="14CF3D91">
      <w:pPr>
        <w:spacing w:line="360" w:lineRule="auto"/>
        <w:ind w:firstLine="560" w:firstLineChars="200"/>
        <w:jc w:val="left"/>
        <w:rPr>
          <w:rFonts w:eastAsia="仿宋_GB2312" w:cs="Arial"/>
          <w:color w:val="000000" w:themeColor="text1"/>
          <w:sz w:val="28"/>
          <w:szCs w:val="28"/>
          <w14:textFill>
            <w14:solidFill>
              <w14:schemeClr w14:val="tx1"/>
            </w14:solidFill>
          </w14:textFill>
        </w:rPr>
      </w:pPr>
      <w:r>
        <w:rPr>
          <w:rFonts w:hint="eastAsia" w:eastAsia="仿宋_GB2312" w:cs="Arial"/>
          <w:b w:val="0"/>
          <w:bCs w:val="0"/>
          <w:color w:val="000000" w:themeColor="text1"/>
          <w:sz w:val="28"/>
          <w:szCs w:val="28"/>
          <w14:textFill>
            <w14:solidFill>
              <w14:schemeClr w14:val="tx1"/>
            </w14:solidFill>
          </w14:textFill>
        </w:rPr>
        <w:t>由</w:t>
      </w:r>
      <w:r>
        <w:rPr>
          <w:rFonts w:hint="eastAsia" w:eastAsia="仿宋_GB2312" w:cs="Arial"/>
          <w:color w:val="000000" w:themeColor="text1"/>
          <w:sz w:val="28"/>
          <w:szCs w:val="28"/>
          <w14:textFill>
            <w14:solidFill>
              <w14:schemeClr w14:val="tx1"/>
            </w14:solidFill>
          </w14:textFill>
        </w:rPr>
        <w:t>试验结果看出：</w:t>
      </w:r>
      <w:r>
        <w:rPr>
          <w:rFonts w:hint="eastAsia" w:eastAsia="仿宋_GB2312" w:cs="Arial"/>
          <w:color w:val="000000" w:themeColor="text1"/>
          <w:sz w:val="28"/>
          <w:szCs w:val="28"/>
          <w:lang w:val="en-US" w:eastAsia="zh-CN"/>
          <w14:textFill>
            <w14:solidFill>
              <w14:schemeClr w14:val="tx1"/>
            </w14:solidFill>
          </w14:textFill>
        </w:rPr>
        <w:t>4个柔性包装的</w:t>
      </w:r>
      <w:r>
        <w:rPr>
          <w:rFonts w:hint="eastAsia" w:eastAsia="仿宋_GB2312" w:cs="Arial"/>
          <w:color w:val="000000" w:themeColor="text1"/>
          <w:sz w:val="28"/>
          <w:szCs w:val="28"/>
          <w:lang w:eastAsia="zh-CN"/>
          <w14:textFill>
            <w14:solidFill>
              <w14:schemeClr w14:val="tx1"/>
            </w14:solidFill>
          </w14:textFill>
        </w:rPr>
        <w:t>不同层</w:t>
      </w:r>
      <w:r>
        <w:rPr>
          <w:rFonts w:hint="eastAsia" w:eastAsia="仿宋_GB2312" w:cs="Arial"/>
          <w:color w:val="000000" w:themeColor="text1"/>
          <w:sz w:val="28"/>
          <w:szCs w:val="28"/>
          <w14:textFill>
            <w14:solidFill>
              <w14:schemeClr w14:val="tx1"/>
            </w14:solidFill>
          </w14:textFill>
        </w:rPr>
        <w:t>所取胶乳的总固体含量相差均不大于</w:t>
      </w:r>
      <w:r>
        <w:rPr>
          <w:rFonts w:eastAsia="仿宋_GB2312" w:cs="Arial"/>
          <w:color w:val="000000" w:themeColor="text1"/>
          <w:sz w:val="28"/>
          <w:szCs w:val="28"/>
          <w14:textFill>
            <w14:solidFill>
              <w14:schemeClr w14:val="tx1"/>
            </w14:solidFill>
          </w14:textFill>
        </w:rPr>
        <w:t>0.</w:t>
      </w:r>
      <w:r>
        <w:rPr>
          <w:rFonts w:hint="eastAsia" w:eastAsia="仿宋_GB2312" w:cs="Arial"/>
          <w:color w:val="000000" w:themeColor="text1"/>
          <w:sz w:val="28"/>
          <w:szCs w:val="28"/>
          <w:lang w:val="en-US" w:eastAsia="zh-CN"/>
          <w14:textFill>
            <w14:solidFill>
              <w14:schemeClr w14:val="tx1"/>
            </w14:solidFill>
          </w14:textFill>
        </w:rPr>
        <w:t>0</w:t>
      </w:r>
      <w:r>
        <w:rPr>
          <w:rFonts w:eastAsia="仿宋_GB2312" w:cs="Arial"/>
          <w:color w:val="000000" w:themeColor="text1"/>
          <w:sz w:val="28"/>
          <w:szCs w:val="28"/>
          <w14:textFill>
            <w14:solidFill>
              <w14:schemeClr w14:val="tx1"/>
            </w14:solidFill>
          </w14:textFill>
        </w:rPr>
        <w:t>5 %</w:t>
      </w:r>
      <w:r>
        <w:rPr>
          <w:rFonts w:hint="eastAsia" w:eastAsia="仿宋_GB2312" w:cs="Arial"/>
          <w:color w:val="000000" w:themeColor="text1"/>
          <w:sz w:val="28"/>
          <w:szCs w:val="28"/>
          <w14:textFill>
            <w14:solidFill>
              <w14:schemeClr w14:val="tx1"/>
            </w14:solidFill>
          </w14:textFill>
        </w:rPr>
        <w:t>。</w:t>
      </w:r>
    </w:p>
    <w:p w14:paraId="4B173C70">
      <w:pPr>
        <w:adjustRightInd w:val="0"/>
        <w:snapToGrid w:val="0"/>
        <w:spacing w:line="560" w:lineRule="exact"/>
        <w:jc w:val="left"/>
        <w:rPr>
          <w:rFonts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3.2技术经济论证、预期的经济效益、社会效益和生态效益</w:t>
      </w:r>
    </w:p>
    <w:p w14:paraId="1033E7B7">
      <w:pPr>
        <w:adjustRightInd w:val="0"/>
        <w:snapToGrid w:val="0"/>
        <w:spacing w:line="560" w:lineRule="exact"/>
        <w:ind w:firstLine="560" w:firstLineChars="200"/>
        <w:rPr>
          <w:rFonts w:eastAsia="仿宋_GB2312" w:cs="Arial"/>
          <w:color w:val="000000" w:themeColor="text1"/>
          <w:sz w:val="28"/>
          <w:szCs w:val="28"/>
          <w14:textFill>
            <w14:solidFill>
              <w14:schemeClr w14:val="tx1"/>
            </w14:solidFill>
          </w14:textFill>
        </w:rPr>
      </w:pPr>
      <w:r>
        <w:rPr>
          <w:rFonts w:hint="eastAsia" w:eastAsia="仿宋_GB2312" w:cs="Arial"/>
          <w:color w:val="000000" w:themeColor="text1"/>
          <w:sz w:val="28"/>
          <w:szCs w:val="28"/>
          <w14:textFill>
            <w14:solidFill>
              <w14:schemeClr w14:val="tx1"/>
            </w14:solidFill>
          </w14:textFill>
        </w:rPr>
        <w:t>实施《胶乳 取样》的标准后，将有利于橡胶与橡胶制品推荐性标准体系的优化，对胶乳包装新技术的推广应用起到积极作用，有利于对国产和进口胶乳的质量控制，并为我国胶乳生产和国际贸易提供技术保障，带来了一定的经济效益、社会效益和生态效益。</w:t>
      </w:r>
    </w:p>
    <w:p w14:paraId="50E3358C">
      <w:pPr>
        <w:adjustRightInd w:val="0"/>
        <w:snapToGrid w:val="0"/>
        <w:spacing w:line="560" w:lineRule="exact"/>
        <w:jc w:val="left"/>
        <w:rPr>
          <w:rFonts w:ascii="黑体" w:hAnsi="黑体" w:eastAsia="黑体" w:cs="黑体"/>
          <w:color w:val="000000" w:themeColor="text1"/>
          <w:sz w:val="28"/>
          <w:szCs w:val="28"/>
          <w14:textFill>
            <w14:solidFill>
              <w14:schemeClr w14:val="tx1"/>
            </w14:solidFill>
          </w14:textFill>
        </w:rPr>
      </w:pPr>
      <w:commentRangeStart w:id="0"/>
      <w:r>
        <w:rPr>
          <w:rFonts w:hint="eastAsia" w:ascii="黑体" w:hAnsi="黑体" w:eastAsia="黑体" w:cs="黑体"/>
          <w:color w:val="000000" w:themeColor="text1"/>
          <w:sz w:val="28"/>
          <w:szCs w:val="28"/>
          <w14:textFill>
            <w14:solidFill>
              <w14:schemeClr w14:val="tx1"/>
            </w14:solidFill>
          </w14:textFill>
        </w:rPr>
        <w:t>4 与国际、国外同类标准技术内容的对比情况，或者与测试的国外样品、样机的有关数据对比情况</w:t>
      </w:r>
      <w:commentRangeEnd w:id="0"/>
      <w:r>
        <w:commentReference w:id="0"/>
      </w:r>
    </w:p>
    <w:p w14:paraId="2EC6CF16">
      <w:pPr>
        <w:pStyle w:val="22"/>
        <w:autoSpaceDE/>
        <w:autoSpaceDN/>
        <w:adjustRightInd w:val="0"/>
        <w:snapToGrid w:val="0"/>
        <w:spacing w:line="560" w:lineRule="exact"/>
        <w:ind w:firstLine="560"/>
        <w:rPr>
          <w:rFonts w:ascii="Times New Roman" w:eastAsia="仿宋_GB2312" w:cs="Arial"/>
          <w:color w:val="000000" w:themeColor="text1"/>
          <w:kern w:val="2"/>
          <w:sz w:val="28"/>
          <w:szCs w:val="28"/>
          <w14:textFill>
            <w14:solidFill>
              <w14:schemeClr w14:val="tx1"/>
            </w14:solidFill>
          </w14:textFill>
        </w:rPr>
      </w:pPr>
      <w:r>
        <w:rPr>
          <w:rFonts w:hint="eastAsia" w:ascii="Times New Roman" w:eastAsia="仿宋_GB2312" w:cs="Arial"/>
          <w:color w:val="000000" w:themeColor="text1"/>
          <w:kern w:val="2"/>
          <w:sz w:val="28"/>
          <w:szCs w:val="28"/>
          <w14:textFill>
            <w14:solidFill>
              <w14:schemeClr w14:val="tx1"/>
            </w14:solidFill>
          </w14:textFill>
        </w:rPr>
        <w:t>本文件拟修改采用ISO 123:2001。</w:t>
      </w:r>
    </w:p>
    <w:p w14:paraId="14495A7A">
      <w:pPr>
        <w:pStyle w:val="22"/>
        <w:autoSpaceDE/>
        <w:autoSpaceDN/>
        <w:adjustRightInd w:val="0"/>
        <w:snapToGrid w:val="0"/>
        <w:spacing w:line="560" w:lineRule="exact"/>
        <w:ind w:firstLine="562"/>
        <w:rPr>
          <w:rFonts w:ascii="Times New Roman" w:eastAsia="仿宋_GB2312" w:cs="Arial"/>
          <w:b/>
          <w:bCs/>
          <w:color w:val="000000" w:themeColor="text1"/>
          <w:kern w:val="2"/>
          <w:sz w:val="28"/>
          <w:szCs w:val="28"/>
          <w14:textFill>
            <w14:solidFill>
              <w14:schemeClr w14:val="tx1"/>
            </w14:solidFill>
          </w14:textFill>
        </w:rPr>
      </w:pPr>
      <w:r>
        <w:rPr>
          <w:rFonts w:hint="eastAsia" w:ascii="Times New Roman" w:eastAsia="仿宋_GB2312" w:cs="Arial"/>
          <w:b/>
          <w:bCs/>
          <w:color w:val="000000" w:themeColor="text1"/>
          <w:kern w:val="2"/>
          <w:sz w:val="28"/>
          <w:szCs w:val="28"/>
          <w14:textFill>
            <w14:solidFill>
              <w14:schemeClr w14:val="tx1"/>
            </w14:solidFill>
          </w14:textFill>
        </w:rPr>
        <w:t>本文件与ISO</w:t>
      </w:r>
      <w:r>
        <w:rPr>
          <w:rFonts w:ascii="Times New Roman" w:eastAsia="仿宋_GB2312" w:cs="Arial"/>
          <w:b/>
          <w:bCs/>
          <w:color w:val="000000" w:themeColor="text1"/>
          <w:kern w:val="2"/>
          <w:sz w:val="28"/>
          <w:szCs w:val="28"/>
          <w14:textFill>
            <w14:solidFill>
              <w14:schemeClr w14:val="tx1"/>
            </w14:solidFill>
          </w14:textFill>
        </w:rPr>
        <w:t xml:space="preserve"> </w:t>
      </w:r>
      <w:r>
        <w:rPr>
          <w:rFonts w:hint="eastAsia" w:ascii="Times New Roman" w:eastAsia="仿宋_GB2312" w:cs="Arial"/>
          <w:b/>
          <w:bCs/>
          <w:color w:val="000000" w:themeColor="text1"/>
          <w:kern w:val="2"/>
          <w:sz w:val="28"/>
          <w:szCs w:val="28"/>
          <w14:textFill>
            <w14:solidFill>
              <w14:schemeClr w14:val="tx1"/>
            </w14:solidFill>
          </w14:textFill>
        </w:rPr>
        <w:t>123:2001相比做了下述结构上调整：</w:t>
      </w:r>
    </w:p>
    <w:p w14:paraId="31D6D714">
      <w:pPr>
        <w:pStyle w:val="22"/>
        <w:autoSpaceDE/>
        <w:autoSpaceDN/>
        <w:adjustRightInd w:val="0"/>
        <w:snapToGrid w:val="0"/>
        <w:spacing w:line="560" w:lineRule="exact"/>
        <w:ind w:firstLine="560"/>
        <w:rPr>
          <w:rFonts w:ascii="Times New Roman" w:eastAsia="仿宋_GB2312" w:cs="Arial"/>
          <w:color w:val="000000" w:themeColor="text1"/>
          <w:kern w:val="2"/>
          <w:sz w:val="28"/>
          <w:szCs w:val="28"/>
          <w14:textFill>
            <w14:solidFill>
              <w14:schemeClr w14:val="tx1"/>
            </w14:solidFill>
          </w14:textFill>
        </w:rPr>
      </w:pPr>
      <w:r>
        <w:rPr>
          <w:rFonts w:hint="eastAsia" w:ascii="Times New Roman" w:eastAsia="仿宋_GB2312" w:cs="Arial"/>
          <w:color w:val="000000" w:themeColor="text1"/>
          <w:kern w:val="2"/>
          <w:sz w:val="28"/>
          <w:szCs w:val="28"/>
          <w14:textFill>
            <w14:solidFill>
              <w14:schemeClr w14:val="tx1"/>
            </w14:solidFill>
          </w14:textFill>
        </w:rPr>
        <w:t>（1）删除了ISO</w:t>
      </w:r>
      <w:r>
        <w:rPr>
          <w:rFonts w:ascii="Times New Roman" w:eastAsia="仿宋_GB2312" w:cs="Arial"/>
          <w:color w:val="000000" w:themeColor="text1"/>
          <w:kern w:val="2"/>
          <w:sz w:val="28"/>
          <w:szCs w:val="28"/>
          <w14:textFill>
            <w14:solidFill>
              <w14:schemeClr w14:val="tx1"/>
            </w14:solidFill>
          </w14:textFill>
        </w:rPr>
        <w:t xml:space="preserve"> </w:t>
      </w:r>
      <w:r>
        <w:rPr>
          <w:rFonts w:hint="eastAsia" w:ascii="Times New Roman" w:eastAsia="仿宋_GB2312" w:cs="Arial"/>
          <w:color w:val="000000" w:themeColor="text1"/>
          <w:kern w:val="2"/>
          <w:sz w:val="28"/>
          <w:szCs w:val="28"/>
          <w14:textFill>
            <w14:solidFill>
              <w14:schemeClr w14:val="tx1"/>
            </w14:solidFill>
          </w14:textFill>
        </w:rPr>
        <w:t>123:2001的3.5“试验部分”；</w:t>
      </w:r>
    </w:p>
    <w:p w14:paraId="63C43E20">
      <w:pPr>
        <w:pStyle w:val="22"/>
        <w:autoSpaceDE/>
        <w:autoSpaceDN/>
        <w:adjustRightInd w:val="0"/>
        <w:snapToGrid w:val="0"/>
        <w:spacing w:line="560" w:lineRule="exact"/>
        <w:ind w:firstLine="560"/>
        <w:rPr>
          <w:rFonts w:ascii="Times New Roman" w:eastAsia="仿宋_GB2312" w:cs="Arial"/>
          <w:color w:val="000000" w:themeColor="text1"/>
          <w:kern w:val="2"/>
          <w:sz w:val="28"/>
          <w:szCs w:val="28"/>
          <w14:textFill>
            <w14:solidFill>
              <w14:schemeClr w14:val="tx1"/>
            </w14:solidFill>
          </w14:textFill>
        </w:rPr>
      </w:pPr>
      <w:r>
        <w:rPr>
          <w:rFonts w:hint="eastAsia" w:ascii="Times New Roman" w:eastAsia="仿宋_GB2312" w:cs="Arial"/>
          <w:color w:val="000000" w:themeColor="text1"/>
          <w:kern w:val="2"/>
          <w:sz w:val="28"/>
          <w:szCs w:val="28"/>
          <w14:textFill>
            <w14:solidFill>
              <w14:schemeClr w14:val="tx1"/>
            </w14:solidFill>
          </w14:textFill>
        </w:rPr>
        <w:t>（2）在“仪器中”增加了“总体要求”一条并调整了条顺序；</w:t>
      </w:r>
    </w:p>
    <w:p w14:paraId="000BB5B5">
      <w:pPr>
        <w:pStyle w:val="22"/>
        <w:autoSpaceDE/>
        <w:autoSpaceDN/>
        <w:adjustRightInd w:val="0"/>
        <w:snapToGrid w:val="0"/>
        <w:spacing w:line="560" w:lineRule="exact"/>
        <w:ind w:firstLine="560"/>
        <w:rPr>
          <w:rFonts w:ascii="Times New Roman" w:eastAsia="仿宋_GB2312" w:cs="Arial"/>
          <w:color w:val="000000" w:themeColor="text1"/>
          <w:kern w:val="2"/>
          <w:sz w:val="28"/>
          <w:szCs w:val="28"/>
          <w14:textFill>
            <w14:solidFill>
              <w14:schemeClr w14:val="tx1"/>
            </w14:solidFill>
          </w14:textFill>
        </w:rPr>
      </w:pPr>
      <w:r>
        <w:rPr>
          <w:rFonts w:hint="eastAsia" w:ascii="Times New Roman" w:eastAsia="仿宋_GB2312" w:cs="Arial"/>
          <w:color w:val="000000" w:themeColor="text1"/>
          <w:kern w:val="2"/>
          <w:sz w:val="28"/>
          <w:szCs w:val="28"/>
          <w14:textFill>
            <w14:solidFill>
              <w14:schemeClr w14:val="tx1"/>
            </w14:solidFill>
          </w14:textFill>
        </w:rPr>
        <w:t>（3）将ISO</w:t>
      </w:r>
      <w:r>
        <w:rPr>
          <w:rFonts w:ascii="Times New Roman" w:eastAsia="仿宋_GB2312" w:cs="Arial"/>
          <w:color w:val="000000" w:themeColor="text1"/>
          <w:kern w:val="2"/>
          <w:sz w:val="28"/>
          <w:szCs w:val="28"/>
          <w14:textFill>
            <w14:solidFill>
              <w14:schemeClr w14:val="tx1"/>
            </w14:solidFill>
          </w14:textFill>
        </w:rPr>
        <w:t xml:space="preserve"> 123:2001 </w:t>
      </w:r>
      <w:r>
        <w:rPr>
          <w:rFonts w:hint="eastAsia" w:ascii="Times New Roman" w:eastAsia="仿宋_GB2312" w:cs="Arial"/>
          <w:color w:val="000000" w:themeColor="text1"/>
          <w:kern w:val="2"/>
          <w:sz w:val="28"/>
          <w:szCs w:val="28"/>
          <w14:textFill>
            <w14:solidFill>
              <w14:schemeClr w14:val="tx1"/>
            </w14:solidFill>
          </w14:textFill>
        </w:rPr>
        <w:t>的5.2.2“分为5.3.2和5.3.2；</w:t>
      </w:r>
    </w:p>
    <w:p w14:paraId="40E1EBB2">
      <w:pPr>
        <w:pStyle w:val="22"/>
        <w:autoSpaceDE/>
        <w:autoSpaceDN/>
        <w:adjustRightInd w:val="0"/>
        <w:snapToGrid w:val="0"/>
        <w:spacing w:line="560" w:lineRule="exact"/>
        <w:ind w:firstLine="560"/>
        <w:rPr>
          <w:rFonts w:ascii="Times New Roman" w:eastAsia="仿宋_GB2312" w:cs="Arial"/>
          <w:color w:val="000000" w:themeColor="text1"/>
          <w:kern w:val="2"/>
          <w:sz w:val="28"/>
          <w:szCs w:val="28"/>
          <w14:textFill>
            <w14:solidFill>
              <w14:schemeClr w14:val="tx1"/>
            </w14:solidFill>
          </w14:textFill>
        </w:rPr>
      </w:pPr>
      <w:r>
        <w:rPr>
          <w:rFonts w:hint="eastAsia" w:ascii="Times New Roman" w:eastAsia="仿宋_GB2312" w:cs="Arial"/>
          <w:color w:val="000000" w:themeColor="text1"/>
          <w:kern w:val="2"/>
          <w:sz w:val="28"/>
          <w:szCs w:val="28"/>
          <w14:textFill>
            <w14:solidFill>
              <w14:schemeClr w14:val="tx1"/>
            </w14:solidFill>
          </w14:textFill>
        </w:rPr>
        <w:t>（4）将“罐车或贮罐中胶乳的取样装置”之后的内容更改为条；</w:t>
      </w:r>
    </w:p>
    <w:p w14:paraId="32CC8562">
      <w:pPr>
        <w:pStyle w:val="22"/>
        <w:autoSpaceDE/>
        <w:autoSpaceDN/>
        <w:adjustRightInd w:val="0"/>
        <w:snapToGrid w:val="0"/>
        <w:spacing w:line="560" w:lineRule="exact"/>
        <w:ind w:firstLine="560"/>
        <w:rPr>
          <w:rFonts w:ascii="Times New Roman" w:eastAsia="仿宋_GB2312" w:cs="Arial"/>
          <w:color w:val="000000" w:themeColor="text1"/>
          <w:kern w:val="2"/>
          <w:sz w:val="28"/>
          <w:szCs w:val="28"/>
          <w14:textFill>
            <w14:solidFill>
              <w14:schemeClr w14:val="tx1"/>
            </w14:solidFill>
          </w14:textFill>
        </w:rPr>
      </w:pPr>
      <w:r>
        <w:rPr>
          <w:rFonts w:hint="eastAsia" w:ascii="Times New Roman" w:eastAsia="仿宋_GB2312" w:cs="Arial"/>
          <w:color w:val="000000" w:themeColor="text1"/>
          <w:kern w:val="2"/>
          <w:sz w:val="28"/>
          <w:szCs w:val="28"/>
          <w14:textFill>
            <w14:solidFill>
              <w14:schemeClr w14:val="tx1"/>
            </w14:solidFill>
          </w14:textFill>
        </w:rPr>
        <w:t>（5）在“取样装置”中增加了“柔性包装胶乳的取样装置”一条并调整了条顺序；</w:t>
      </w:r>
    </w:p>
    <w:p w14:paraId="06A4B7CE">
      <w:pPr>
        <w:pStyle w:val="22"/>
        <w:autoSpaceDE/>
        <w:autoSpaceDN/>
        <w:adjustRightInd w:val="0"/>
        <w:snapToGrid w:val="0"/>
        <w:spacing w:line="560" w:lineRule="exact"/>
        <w:ind w:firstLine="560"/>
        <w:rPr>
          <w:rFonts w:ascii="Times New Roman" w:eastAsia="仿宋_GB2312" w:cs="Arial"/>
          <w:color w:val="000000" w:themeColor="text1"/>
          <w:kern w:val="2"/>
          <w:sz w:val="28"/>
          <w:szCs w:val="28"/>
          <w14:textFill>
            <w14:solidFill>
              <w14:schemeClr w14:val="tx1"/>
            </w14:solidFill>
          </w14:textFill>
        </w:rPr>
      </w:pPr>
      <w:r>
        <w:rPr>
          <w:rFonts w:hint="eastAsia" w:ascii="Times New Roman" w:eastAsia="仿宋_GB2312" w:cs="Arial"/>
          <w:color w:val="000000" w:themeColor="text1"/>
          <w:kern w:val="2"/>
          <w:sz w:val="28"/>
          <w:szCs w:val="28"/>
          <w14:textFill>
            <w14:solidFill>
              <w14:schemeClr w14:val="tx1"/>
            </w14:solidFill>
          </w14:textFill>
        </w:rPr>
        <w:t>（6）在“取样”中增加了“从柔性包装中取样”一条并调整了条顺序。</w:t>
      </w:r>
    </w:p>
    <w:p w14:paraId="24EDA22C">
      <w:pPr>
        <w:pStyle w:val="22"/>
        <w:autoSpaceDE/>
        <w:autoSpaceDN/>
        <w:adjustRightInd w:val="0"/>
        <w:snapToGrid w:val="0"/>
        <w:spacing w:line="560" w:lineRule="exact"/>
        <w:ind w:firstLine="562"/>
        <w:rPr>
          <w:rFonts w:ascii="Times New Roman" w:eastAsia="仿宋_GB2312" w:cs="Arial"/>
          <w:b/>
          <w:bCs/>
          <w:color w:val="000000" w:themeColor="text1"/>
          <w:kern w:val="2"/>
          <w:sz w:val="28"/>
          <w:szCs w:val="28"/>
          <w14:textFill>
            <w14:solidFill>
              <w14:schemeClr w14:val="tx1"/>
            </w14:solidFill>
          </w14:textFill>
        </w:rPr>
      </w:pPr>
      <w:commentRangeStart w:id="1"/>
      <w:r>
        <w:rPr>
          <w:rFonts w:hint="eastAsia" w:ascii="Times New Roman" w:eastAsia="仿宋_GB2312" w:cs="Arial"/>
          <w:b/>
          <w:bCs/>
          <w:color w:val="000000" w:themeColor="text1"/>
          <w:kern w:val="2"/>
          <w:sz w:val="28"/>
          <w:szCs w:val="28"/>
          <w14:textFill>
            <w14:solidFill>
              <w14:schemeClr w14:val="tx1"/>
            </w14:solidFill>
          </w14:textFill>
        </w:rPr>
        <w:t>本文件与</w:t>
      </w:r>
      <w:r>
        <w:rPr>
          <w:rFonts w:ascii="Times New Roman" w:eastAsia="仿宋_GB2312" w:cs="Arial"/>
          <w:b/>
          <w:bCs/>
          <w:color w:val="000000" w:themeColor="text1"/>
          <w:kern w:val="2"/>
          <w:sz w:val="28"/>
          <w:szCs w:val="28"/>
          <w14:textFill>
            <w14:solidFill>
              <w14:schemeClr w14:val="tx1"/>
            </w14:solidFill>
          </w14:textFill>
        </w:rPr>
        <w:t>ISO 123:2001</w:t>
      </w:r>
      <w:r>
        <w:rPr>
          <w:rFonts w:hint="eastAsia" w:ascii="Times New Roman" w:eastAsia="仿宋_GB2312" w:cs="Arial"/>
          <w:b/>
          <w:bCs/>
          <w:color w:val="000000" w:themeColor="text1"/>
          <w:kern w:val="2"/>
          <w:sz w:val="28"/>
          <w:szCs w:val="28"/>
          <w14:textFill>
            <w14:solidFill>
              <w14:schemeClr w14:val="tx1"/>
            </w14:solidFill>
          </w14:textFill>
        </w:rPr>
        <w:t>的技术差异及其原因如下：</w:t>
      </w:r>
      <w:commentRangeEnd w:id="1"/>
      <w:r>
        <w:rPr>
          <w:rFonts w:ascii="宋体"/>
          <w:b/>
          <w:bCs/>
          <w:color w:val="000000" w:themeColor="text1"/>
          <w:kern w:val="0"/>
          <w:szCs w:val="21"/>
          <w14:textFill>
            <w14:solidFill>
              <w14:schemeClr w14:val="tx1"/>
            </w14:solidFill>
          </w14:textFill>
        </w:rPr>
        <w:commentReference w:id="1"/>
      </w:r>
    </w:p>
    <w:p w14:paraId="13E595DC">
      <w:pPr>
        <w:pStyle w:val="27"/>
        <w:numPr>
          <w:ilvl w:val="0"/>
          <w:numId w:val="5"/>
        </w:numPr>
        <w:tabs>
          <w:tab w:val="left" w:pos="993"/>
          <w:tab w:val="clear" w:pos="2128"/>
        </w:tabs>
        <w:adjustRightInd w:val="0"/>
        <w:snapToGrid w:val="0"/>
        <w:spacing w:line="560" w:lineRule="exact"/>
        <w:ind w:left="0" w:firstLine="560" w:firstLineChars="200"/>
        <w:rPr>
          <w:rFonts w:hint="eastAsia" w:ascii="Times New Roman" w:eastAsia="仿宋_GB2312" w:cs="Arial"/>
          <w:color w:val="000000" w:themeColor="text1"/>
          <w:kern w:val="2"/>
          <w:sz w:val="28"/>
          <w:szCs w:val="28"/>
          <w14:textFill>
            <w14:solidFill>
              <w14:schemeClr w14:val="tx1"/>
            </w14:solidFill>
          </w14:textFill>
        </w:rPr>
      </w:pPr>
      <w:r>
        <w:rPr>
          <w:rFonts w:hint="eastAsia" w:ascii="Times New Roman" w:eastAsia="仿宋_GB2312" w:cs="Arial"/>
          <w:color w:val="000000" w:themeColor="text1"/>
          <w:kern w:val="2"/>
          <w:sz w:val="28"/>
          <w:szCs w:val="28"/>
          <w14:textFill>
            <w14:solidFill>
              <w14:schemeClr w14:val="tx1"/>
            </w14:solidFill>
          </w14:textFill>
        </w:rPr>
        <w:t>更改了文件的适用范围，增加了适用于集装箱液袋等柔性包装胶乳的取样，以适应胶乳新包装方式的需要；</w:t>
      </w:r>
    </w:p>
    <w:p w14:paraId="20CFB361">
      <w:pPr>
        <w:pStyle w:val="27"/>
        <w:numPr>
          <w:ilvl w:val="0"/>
          <w:numId w:val="5"/>
        </w:numPr>
        <w:tabs>
          <w:tab w:val="left" w:pos="993"/>
          <w:tab w:val="clear" w:pos="2128"/>
        </w:tabs>
        <w:adjustRightInd w:val="0"/>
        <w:snapToGrid w:val="0"/>
        <w:spacing w:line="560" w:lineRule="exact"/>
        <w:ind w:left="0" w:firstLine="560" w:firstLineChars="200"/>
        <w:rPr>
          <w:rFonts w:hint="eastAsia" w:ascii="Times New Roman" w:eastAsia="仿宋_GB2312" w:cs="Arial"/>
          <w:color w:val="000000" w:themeColor="text1"/>
          <w:kern w:val="2"/>
          <w:sz w:val="28"/>
          <w:szCs w:val="28"/>
          <w14:textFill>
            <w14:solidFill>
              <w14:schemeClr w14:val="tx1"/>
            </w14:solidFill>
          </w14:textFill>
        </w:rPr>
      </w:pPr>
      <w:r>
        <w:rPr>
          <w:rFonts w:hint="eastAsia" w:ascii="Times New Roman" w:eastAsia="仿宋_GB2312" w:cs="Arial"/>
          <w:color w:val="000000" w:themeColor="text1"/>
          <w:kern w:val="2"/>
          <w:sz w:val="28"/>
          <w:szCs w:val="28"/>
          <w14:textFill>
            <w14:solidFill>
              <w14:schemeClr w14:val="tx1"/>
            </w14:solidFill>
          </w14:textFill>
        </w:rPr>
        <w:t>删除了术语条目“试验部分”，因其未在正文中出现；</w:t>
      </w:r>
    </w:p>
    <w:p w14:paraId="134BE029">
      <w:pPr>
        <w:pStyle w:val="27"/>
        <w:numPr>
          <w:ilvl w:val="0"/>
          <w:numId w:val="5"/>
        </w:numPr>
        <w:tabs>
          <w:tab w:val="left" w:pos="993"/>
          <w:tab w:val="clear" w:pos="2128"/>
        </w:tabs>
        <w:adjustRightInd w:val="0"/>
        <w:snapToGrid w:val="0"/>
        <w:spacing w:line="560" w:lineRule="exact"/>
        <w:ind w:left="0" w:firstLine="560" w:firstLineChars="200"/>
        <w:rPr>
          <w:rFonts w:hint="eastAsia" w:ascii="Times New Roman" w:eastAsia="仿宋_GB2312" w:cs="Arial"/>
          <w:color w:val="000000" w:themeColor="text1"/>
          <w:kern w:val="2"/>
          <w:sz w:val="28"/>
          <w:szCs w:val="28"/>
          <w14:textFill>
            <w14:solidFill>
              <w14:schemeClr w14:val="tx1"/>
            </w14:solidFill>
          </w14:textFill>
        </w:rPr>
      </w:pPr>
      <w:r>
        <w:rPr>
          <w:rFonts w:hint="eastAsia" w:ascii="Times New Roman" w:eastAsia="仿宋_GB2312" w:cs="Arial"/>
          <w:color w:val="000000" w:themeColor="text1"/>
          <w:kern w:val="2"/>
          <w:sz w:val="28"/>
          <w:szCs w:val="28"/>
          <w14:textFill>
            <w14:solidFill>
              <w14:schemeClr w14:val="tx1"/>
            </w14:solidFill>
          </w14:textFill>
        </w:rPr>
        <w:t>将“仪器”中的引导语更改为“总体要求”中的条，因为其含有要求；</w:t>
      </w:r>
    </w:p>
    <w:p w14:paraId="765FDDA0">
      <w:pPr>
        <w:pStyle w:val="27"/>
        <w:numPr>
          <w:ilvl w:val="0"/>
          <w:numId w:val="5"/>
        </w:numPr>
        <w:tabs>
          <w:tab w:val="left" w:pos="993"/>
          <w:tab w:val="clear" w:pos="2128"/>
        </w:tabs>
        <w:adjustRightInd w:val="0"/>
        <w:snapToGrid w:val="0"/>
        <w:spacing w:line="560" w:lineRule="exact"/>
        <w:ind w:left="0" w:firstLine="560" w:firstLineChars="200"/>
        <w:rPr>
          <w:rFonts w:hint="eastAsia" w:ascii="Times New Roman" w:eastAsia="仿宋_GB2312" w:cs="Arial"/>
          <w:color w:val="000000" w:themeColor="text1"/>
          <w:kern w:val="2"/>
          <w:sz w:val="28"/>
          <w:szCs w:val="28"/>
          <w14:textFill>
            <w14:solidFill>
              <w14:schemeClr w14:val="tx1"/>
            </w14:solidFill>
          </w14:textFill>
        </w:rPr>
      </w:pPr>
      <w:r>
        <w:rPr>
          <w:rFonts w:hint="eastAsia" w:ascii="Times New Roman" w:eastAsia="仿宋_GB2312" w:cs="Arial"/>
          <w:color w:val="000000" w:themeColor="text1"/>
          <w:kern w:val="2"/>
          <w:sz w:val="28"/>
          <w:szCs w:val="28"/>
          <w14:textFill>
            <w14:solidFill>
              <w14:schemeClr w14:val="tx1"/>
            </w14:solidFill>
          </w14:textFill>
        </w:rPr>
        <w:t>将“搅拌器”的部分要求内容更改为“总体要求”的条，因为其为通用要求；</w:t>
      </w:r>
    </w:p>
    <w:p w14:paraId="5E99A083">
      <w:pPr>
        <w:pStyle w:val="27"/>
        <w:numPr>
          <w:ilvl w:val="0"/>
          <w:numId w:val="5"/>
        </w:numPr>
        <w:tabs>
          <w:tab w:val="left" w:pos="993"/>
          <w:tab w:val="clear" w:pos="2128"/>
        </w:tabs>
        <w:adjustRightInd w:val="0"/>
        <w:snapToGrid w:val="0"/>
        <w:spacing w:line="560" w:lineRule="exact"/>
        <w:ind w:left="0" w:firstLine="560" w:firstLineChars="200"/>
        <w:rPr>
          <w:rFonts w:hint="eastAsia" w:ascii="Times New Roman" w:eastAsia="仿宋_GB2312" w:cs="Arial"/>
          <w:color w:val="000000" w:themeColor="text1"/>
          <w:kern w:val="2"/>
          <w:sz w:val="28"/>
          <w:szCs w:val="28"/>
          <w14:textFill>
            <w14:solidFill>
              <w14:schemeClr w14:val="tx1"/>
            </w14:solidFill>
          </w14:textFill>
        </w:rPr>
      </w:pPr>
      <w:r>
        <w:rPr>
          <w:rFonts w:hint="eastAsia" w:ascii="Times New Roman" w:eastAsia="仿宋_GB2312" w:cs="Arial"/>
          <w:color w:val="000000" w:themeColor="text1"/>
          <w:kern w:val="2"/>
          <w:sz w:val="28"/>
          <w:szCs w:val="28"/>
          <w14:textFill>
            <w14:solidFill>
              <w14:schemeClr w14:val="tx1"/>
            </w14:solidFill>
          </w14:textFill>
        </w:rPr>
        <w:t>将 “取样装置”的部分要求内容更改为“总体要求”的条，因为其为通用要求；</w:t>
      </w:r>
    </w:p>
    <w:p w14:paraId="4E438674">
      <w:pPr>
        <w:pStyle w:val="27"/>
        <w:numPr>
          <w:ilvl w:val="0"/>
          <w:numId w:val="5"/>
        </w:numPr>
        <w:tabs>
          <w:tab w:val="left" w:pos="993"/>
          <w:tab w:val="clear" w:pos="2128"/>
        </w:tabs>
        <w:adjustRightInd w:val="0"/>
        <w:snapToGrid w:val="0"/>
        <w:spacing w:line="560" w:lineRule="exact"/>
        <w:ind w:left="0" w:firstLine="560" w:firstLineChars="200"/>
        <w:rPr>
          <w:rFonts w:hint="eastAsia" w:ascii="Times New Roman" w:eastAsia="仿宋_GB2312" w:cs="Arial"/>
          <w:color w:val="000000" w:themeColor="text1"/>
          <w:kern w:val="2"/>
          <w:sz w:val="28"/>
          <w:szCs w:val="28"/>
          <w14:textFill>
            <w14:solidFill>
              <w14:schemeClr w14:val="tx1"/>
            </w14:solidFill>
          </w14:textFill>
        </w:rPr>
      </w:pPr>
      <w:r>
        <w:rPr>
          <w:rFonts w:hint="eastAsia" w:ascii="Times New Roman" w:eastAsia="仿宋_GB2312" w:cs="Arial"/>
          <w:color w:val="000000" w:themeColor="text1"/>
          <w:kern w:val="2"/>
          <w:sz w:val="28"/>
          <w:szCs w:val="28"/>
          <w14:textFill>
            <w14:solidFill>
              <w14:schemeClr w14:val="tx1"/>
            </w14:solidFill>
          </w14:textFill>
        </w:rPr>
        <w:t>规范性引用的GB/T 3186替换了ISO 15528，以适应我国对色漆、清漆以及色漆与清漆用原料取样的要求；</w:t>
      </w:r>
    </w:p>
    <w:p w14:paraId="08797E0D">
      <w:pPr>
        <w:pStyle w:val="27"/>
        <w:numPr>
          <w:ilvl w:val="0"/>
          <w:numId w:val="5"/>
        </w:numPr>
        <w:tabs>
          <w:tab w:val="left" w:pos="993"/>
          <w:tab w:val="clear" w:pos="2128"/>
        </w:tabs>
        <w:adjustRightInd w:val="0"/>
        <w:snapToGrid w:val="0"/>
        <w:spacing w:line="560" w:lineRule="exact"/>
        <w:ind w:left="0" w:firstLine="560" w:firstLineChars="200"/>
        <w:rPr>
          <w:rFonts w:hint="eastAsia" w:ascii="Times New Roman" w:eastAsia="仿宋_GB2312" w:cs="Arial"/>
          <w:color w:val="000000" w:themeColor="text1"/>
          <w:kern w:val="2"/>
          <w:sz w:val="28"/>
          <w:szCs w:val="28"/>
          <w14:textFill>
            <w14:solidFill>
              <w14:schemeClr w14:val="tx1"/>
            </w14:solidFill>
          </w14:textFill>
        </w:rPr>
      </w:pPr>
      <w:r>
        <w:rPr>
          <w:rFonts w:hint="eastAsia" w:ascii="Times New Roman" w:eastAsia="仿宋_GB2312" w:cs="Arial"/>
          <w:color w:val="000000" w:themeColor="text1"/>
          <w:kern w:val="2"/>
          <w:sz w:val="28"/>
          <w:szCs w:val="28"/>
          <w14:textFill>
            <w14:solidFill>
              <w14:schemeClr w14:val="tx1"/>
            </w14:solidFill>
          </w14:textFill>
        </w:rPr>
        <w:t>增加了“柔性包装胶乳的取样装置”，以适应胶乳新包装方式取样的需要；</w:t>
      </w:r>
    </w:p>
    <w:p w14:paraId="36408C88">
      <w:pPr>
        <w:pStyle w:val="27"/>
        <w:numPr>
          <w:ilvl w:val="0"/>
          <w:numId w:val="5"/>
        </w:numPr>
        <w:tabs>
          <w:tab w:val="left" w:pos="993"/>
          <w:tab w:val="clear" w:pos="2128"/>
        </w:tabs>
        <w:adjustRightInd w:val="0"/>
        <w:snapToGrid w:val="0"/>
        <w:spacing w:line="560" w:lineRule="exact"/>
        <w:ind w:left="0" w:firstLine="560" w:firstLineChars="200"/>
        <w:rPr>
          <w:rFonts w:hint="eastAsia" w:ascii="Times New Roman" w:eastAsia="仿宋_GB2312" w:cs="Arial"/>
          <w:color w:val="000000" w:themeColor="text1"/>
          <w:kern w:val="2"/>
          <w:sz w:val="28"/>
          <w:szCs w:val="28"/>
          <w14:textFill>
            <w14:solidFill>
              <w14:schemeClr w14:val="tx1"/>
            </w14:solidFill>
          </w14:textFill>
        </w:rPr>
      </w:pPr>
      <w:r>
        <w:rPr>
          <w:rFonts w:hint="eastAsia" w:ascii="Times New Roman" w:eastAsia="仿宋_GB2312" w:cs="Arial"/>
          <w:color w:val="000000" w:themeColor="text1"/>
          <w:kern w:val="2"/>
          <w:sz w:val="28"/>
          <w:szCs w:val="28"/>
          <w14:textFill>
            <w14:solidFill>
              <w14:schemeClr w14:val="tx1"/>
            </w14:solidFill>
          </w14:textFill>
        </w:rPr>
        <w:t>用规范性引用的GB/T 6003.1替换了ISO 3310-1，以适应我国对金属丝编织网试验筛的要求；</w:t>
      </w:r>
    </w:p>
    <w:p w14:paraId="396B4243">
      <w:pPr>
        <w:pStyle w:val="27"/>
        <w:numPr>
          <w:ilvl w:val="0"/>
          <w:numId w:val="5"/>
        </w:numPr>
        <w:tabs>
          <w:tab w:val="left" w:pos="993"/>
          <w:tab w:val="clear" w:pos="2128"/>
        </w:tabs>
        <w:adjustRightInd w:val="0"/>
        <w:snapToGrid w:val="0"/>
        <w:spacing w:line="560" w:lineRule="exact"/>
        <w:ind w:left="0" w:firstLine="560" w:firstLineChars="200"/>
        <w:rPr>
          <w:rFonts w:hint="eastAsia" w:ascii="Times New Roman" w:eastAsia="仿宋_GB2312" w:cs="Arial"/>
          <w:color w:val="000000" w:themeColor="text1"/>
          <w:kern w:val="2"/>
          <w:sz w:val="28"/>
          <w:szCs w:val="28"/>
          <w14:textFill>
            <w14:solidFill>
              <w14:schemeClr w14:val="tx1"/>
            </w14:solidFill>
          </w14:textFill>
        </w:rPr>
      </w:pPr>
      <w:r>
        <w:rPr>
          <w:rFonts w:hint="eastAsia" w:ascii="Times New Roman" w:eastAsia="仿宋_GB2312" w:cs="Arial"/>
          <w:color w:val="000000" w:themeColor="text1"/>
          <w:kern w:val="2"/>
          <w:sz w:val="28"/>
          <w:szCs w:val="28"/>
          <w14:textFill>
            <w14:solidFill>
              <w14:schemeClr w14:val="tx1"/>
            </w14:solidFill>
          </w14:textFill>
        </w:rPr>
        <w:t>用规范性引用的GB/T 8298替换了ISO 124，以适应我国对胶乳总固体含量测定的要求；</w:t>
      </w:r>
    </w:p>
    <w:p w14:paraId="67E80B13">
      <w:pPr>
        <w:pStyle w:val="27"/>
        <w:numPr>
          <w:ilvl w:val="0"/>
          <w:numId w:val="5"/>
        </w:numPr>
        <w:tabs>
          <w:tab w:val="left" w:pos="993"/>
          <w:tab w:val="clear" w:pos="2128"/>
        </w:tabs>
        <w:adjustRightInd w:val="0"/>
        <w:snapToGrid w:val="0"/>
        <w:spacing w:line="560" w:lineRule="exact"/>
        <w:ind w:left="0" w:firstLine="560" w:firstLineChars="200"/>
        <w:rPr>
          <w:rFonts w:hint="eastAsia" w:ascii="Times New Roman" w:eastAsia="仿宋_GB2312" w:cs="Arial"/>
          <w:color w:val="000000" w:themeColor="text1"/>
          <w:kern w:val="2"/>
          <w:sz w:val="28"/>
          <w:szCs w:val="28"/>
          <w14:textFill>
            <w14:solidFill>
              <w14:schemeClr w14:val="tx1"/>
            </w14:solidFill>
          </w14:textFill>
        </w:rPr>
      </w:pPr>
      <w:r>
        <w:rPr>
          <w:rFonts w:hint="eastAsia" w:ascii="Times New Roman" w:eastAsia="仿宋_GB2312" w:cs="Arial"/>
          <w:color w:val="000000" w:themeColor="text1"/>
          <w:kern w:val="2"/>
          <w:sz w:val="28"/>
          <w:szCs w:val="28"/>
          <w14:textFill>
            <w14:solidFill>
              <w14:schemeClr w14:val="tx1"/>
            </w14:solidFill>
          </w14:textFill>
        </w:rPr>
        <w:t>用规范性引用的GB/T 8291替换了ISO 706，以适应我国对胶乳凝块含量（筛余物）测定的要求；</w:t>
      </w:r>
    </w:p>
    <w:p w14:paraId="395181AB">
      <w:pPr>
        <w:pStyle w:val="27"/>
        <w:numPr>
          <w:ilvl w:val="0"/>
          <w:numId w:val="5"/>
        </w:numPr>
        <w:tabs>
          <w:tab w:val="left" w:pos="993"/>
          <w:tab w:val="clear" w:pos="2128"/>
        </w:tabs>
        <w:adjustRightInd w:val="0"/>
        <w:snapToGrid w:val="0"/>
        <w:spacing w:line="560" w:lineRule="exact"/>
        <w:ind w:left="0" w:firstLine="560" w:firstLineChars="200"/>
        <w:rPr>
          <w:rFonts w:hint="eastAsia" w:ascii="Times New Roman" w:eastAsia="仿宋_GB2312" w:cs="Arial"/>
          <w:color w:val="000000" w:themeColor="text1"/>
          <w:kern w:val="2"/>
          <w:sz w:val="28"/>
          <w:szCs w:val="28"/>
          <w14:textFill>
            <w14:solidFill>
              <w14:schemeClr w14:val="tx1"/>
            </w14:solidFill>
          </w14:textFill>
        </w:rPr>
      </w:pPr>
      <w:r>
        <w:rPr>
          <w:rFonts w:hint="eastAsia" w:ascii="Times New Roman" w:eastAsia="仿宋_GB2312" w:cs="Arial"/>
          <w:color w:val="000000" w:themeColor="text1"/>
          <w:kern w:val="2"/>
          <w:sz w:val="28"/>
          <w:szCs w:val="28"/>
          <w14:textFill>
            <w14:solidFill>
              <w14:schemeClr w14:val="tx1"/>
            </w14:solidFill>
          </w14:textFill>
        </w:rPr>
        <w:t>增加了“从柔性包装中取样”，以适应胶乳新包装方式的需要。</w:t>
      </w:r>
    </w:p>
    <w:p w14:paraId="68C78B5E">
      <w:pPr>
        <w:pStyle w:val="27"/>
        <w:numPr>
          <w:ilvl w:val="-1"/>
          <w:numId w:val="0"/>
        </w:numPr>
        <w:adjustRightInd w:val="0"/>
        <w:snapToGrid w:val="0"/>
        <w:spacing w:line="560" w:lineRule="exact"/>
        <w:ind w:left="420" w:leftChars="200" w:firstLine="0" w:firstLineChars="0"/>
        <w:rPr>
          <w:rFonts w:hint="eastAsia" w:ascii="Times New Roman" w:hAnsi="Times New Roman" w:eastAsia="仿宋_GB2312" w:cs="Arial"/>
          <w:b/>
          <w:bCs/>
          <w:color w:val="000000" w:themeColor="text1"/>
          <w:kern w:val="2"/>
          <w:sz w:val="28"/>
          <w:szCs w:val="28"/>
          <w14:textFill>
            <w14:solidFill>
              <w14:schemeClr w14:val="tx1"/>
            </w14:solidFill>
          </w14:textFill>
        </w:rPr>
      </w:pPr>
      <w:r>
        <w:rPr>
          <w:rFonts w:hint="eastAsia" w:ascii="Times New Roman" w:eastAsia="仿宋_GB2312" w:cs="Arial"/>
          <w:b/>
          <w:bCs/>
          <w:color w:val="000000" w:themeColor="text1"/>
          <w:kern w:val="2"/>
          <w:sz w:val="28"/>
          <w:szCs w:val="28"/>
          <w14:textFill>
            <w14:solidFill>
              <w14:schemeClr w14:val="tx1"/>
            </w14:solidFill>
          </w14:textFill>
        </w:rPr>
        <w:t>本文件做了下列编辑性改动：</w:t>
      </w:r>
    </w:p>
    <w:p w14:paraId="5B61A850">
      <w:pPr>
        <w:pStyle w:val="27"/>
        <w:numPr>
          <w:ilvl w:val="0"/>
          <w:numId w:val="6"/>
        </w:numPr>
        <w:tabs>
          <w:tab w:val="left" w:pos="993"/>
          <w:tab w:val="clear" w:pos="2128"/>
        </w:tabs>
        <w:adjustRightInd w:val="0"/>
        <w:snapToGrid w:val="0"/>
        <w:spacing w:line="560" w:lineRule="exact"/>
        <w:ind w:left="0" w:firstLine="560" w:firstLineChars="200"/>
        <w:rPr>
          <w:rFonts w:hint="eastAsia" w:ascii="Times New Roman" w:hAnsi="Times New Roman" w:eastAsia="仿宋_GB2312" w:cs="Arial"/>
          <w:color w:val="000000" w:themeColor="text1"/>
          <w:kern w:val="2"/>
          <w:sz w:val="28"/>
          <w:szCs w:val="28"/>
          <w14:textFill>
            <w14:solidFill>
              <w14:schemeClr w14:val="tx1"/>
            </w14:solidFill>
          </w14:textFill>
        </w:rPr>
      </w:pPr>
      <w:r>
        <w:rPr>
          <w:rFonts w:hint="eastAsia" w:ascii="Times New Roman" w:hAnsi="Times New Roman" w:eastAsia="仿宋_GB2312" w:cs="Arial"/>
          <w:color w:val="000000" w:themeColor="text1"/>
          <w:kern w:val="2"/>
          <w:sz w:val="28"/>
          <w:szCs w:val="28"/>
          <w14:textFill>
            <w14:solidFill>
              <w14:schemeClr w14:val="tx1"/>
            </w14:solidFill>
          </w14:textFill>
        </w:rPr>
        <w:t>增加了资料性附录A。</w:t>
      </w:r>
    </w:p>
    <w:p w14:paraId="52C1B7EB">
      <w:pPr>
        <w:adjustRightInd w:val="0"/>
        <w:snapToGrid w:val="0"/>
        <w:spacing w:line="560" w:lineRule="exact"/>
        <w:jc w:val="left"/>
        <w:rPr>
          <w:rFonts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5 以国际标准为基础的起草情况，以及是否合规引用或者采用国际国外标准，并说明未采用国际标准的原因</w:t>
      </w:r>
    </w:p>
    <w:p w14:paraId="4062B432">
      <w:pPr>
        <w:adjustRightInd w:val="0"/>
        <w:snapToGrid w:val="0"/>
        <w:spacing w:line="560" w:lineRule="exact"/>
        <w:ind w:firstLine="560" w:firstLineChars="200"/>
        <w:outlineLvl w:val="0"/>
        <w:rPr>
          <w:rFonts w:eastAsia="仿宋_GB2312"/>
          <w:color w:val="000000" w:themeColor="text1"/>
          <w:sz w:val="28"/>
          <w:szCs w:val="28"/>
          <w14:textFill>
            <w14:solidFill>
              <w14:schemeClr w14:val="tx1"/>
            </w14:solidFill>
          </w14:textFill>
        </w:rPr>
      </w:pPr>
      <w:r>
        <w:rPr>
          <w:rFonts w:eastAsia="仿宋_GB2312"/>
          <w:color w:val="000000" w:themeColor="text1"/>
          <w:sz w:val="28"/>
          <w:szCs w:val="28"/>
          <w14:textFill>
            <w14:solidFill>
              <w14:schemeClr w14:val="tx1"/>
            </w14:solidFill>
          </w14:textFill>
        </w:rPr>
        <w:t>本标准</w:t>
      </w:r>
      <w:r>
        <w:rPr>
          <w:rFonts w:hint="eastAsia" w:eastAsia="仿宋_GB2312"/>
          <w:color w:val="000000" w:themeColor="text1"/>
          <w:sz w:val="28"/>
          <w:szCs w:val="28"/>
          <w14:textFill>
            <w14:solidFill>
              <w14:schemeClr w14:val="tx1"/>
            </w14:solidFill>
          </w14:textFill>
        </w:rPr>
        <w:t>拟修改采用ISO 123:2001整合修订GB/T 8290—2021与GB/T 24130—2009</w:t>
      </w:r>
      <w:r>
        <w:rPr>
          <w:rFonts w:eastAsia="仿宋_GB2312"/>
          <w:color w:val="000000" w:themeColor="text1"/>
          <w:sz w:val="28"/>
          <w:szCs w:val="28"/>
          <w14:textFill>
            <w14:solidFill>
              <w14:schemeClr w14:val="tx1"/>
            </w14:solidFill>
          </w14:textFill>
        </w:rPr>
        <w:t>，</w:t>
      </w:r>
      <w:r>
        <w:rPr>
          <w:rFonts w:hint="eastAsia" w:eastAsia="仿宋_GB2312"/>
          <w:color w:val="000000" w:themeColor="text1"/>
          <w:sz w:val="28"/>
          <w:szCs w:val="28"/>
          <w14:textFill>
            <w14:solidFill>
              <w14:schemeClr w14:val="tx1"/>
            </w14:solidFill>
          </w14:textFill>
        </w:rPr>
        <w:t>更改了文件的适用范围，增加了适用于集装箱液袋等柔性包装胶乳的取样，删除了术语条目“试验部分”，用规范性引用的GB/T 6003.1替换了ISO 3310-1、GB/T 8291替换了ISO 706、GB/T 3186替换了ISO 15528、GB/T 8298替换了ISO 124，将“仪器”中的引导语更改为“总体要求”中的条，将“搅拌器”和“取样装置”部分要求内容更改为“总体要求”，增加了“柔性包装胶乳的取样装置”，增加了“从柔性包装中取样”，更改了一些语言的表述和图的位置以满足我国的语言环境；增加了资料性附录“装有柔性包装胶乳的集装箱图片”，</w:t>
      </w:r>
      <w:r>
        <w:rPr>
          <w:rFonts w:eastAsia="仿宋_GB2312"/>
          <w:color w:val="000000" w:themeColor="text1"/>
          <w:sz w:val="28"/>
          <w:szCs w:val="28"/>
          <w14:textFill>
            <w14:solidFill>
              <w14:schemeClr w14:val="tx1"/>
            </w14:solidFill>
          </w14:textFill>
        </w:rPr>
        <w:t>在结构与技术内容上基本与</w:t>
      </w:r>
      <w:r>
        <w:rPr>
          <w:rFonts w:hint="eastAsia" w:eastAsia="仿宋_GB2312"/>
          <w:color w:val="000000" w:themeColor="text1"/>
          <w:sz w:val="28"/>
          <w:szCs w:val="28"/>
          <w14:textFill>
            <w14:solidFill>
              <w14:schemeClr w14:val="tx1"/>
            </w14:solidFill>
          </w14:textFill>
        </w:rPr>
        <w:t>ISO 123:2001</w:t>
      </w:r>
      <w:r>
        <w:rPr>
          <w:rFonts w:eastAsia="仿宋_GB2312"/>
          <w:color w:val="000000" w:themeColor="text1"/>
          <w:sz w:val="28"/>
          <w:szCs w:val="28"/>
          <w14:textFill>
            <w14:solidFill>
              <w14:schemeClr w14:val="tx1"/>
            </w14:solidFill>
          </w14:textFill>
        </w:rPr>
        <w:t>保持一致，属于合规引用国际标准。</w:t>
      </w:r>
    </w:p>
    <w:p w14:paraId="72959D90">
      <w:pPr>
        <w:adjustRightInd w:val="0"/>
        <w:snapToGrid w:val="0"/>
        <w:spacing w:line="560" w:lineRule="exact"/>
        <w:jc w:val="left"/>
        <w:rPr>
          <w:rFonts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6 与有关法律、行政法规及相关标准的关系</w:t>
      </w:r>
    </w:p>
    <w:p w14:paraId="49028540">
      <w:pPr>
        <w:adjustRightInd w:val="0"/>
        <w:snapToGrid w:val="0"/>
        <w:spacing w:line="560" w:lineRule="exact"/>
        <w:ind w:firstLine="560" w:firstLineChars="200"/>
        <w:outlineLvl w:val="0"/>
        <w:rPr>
          <w:rFonts w:eastAsia="仿宋_GB2312"/>
          <w:color w:val="000000" w:themeColor="text1"/>
          <w:sz w:val="28"/>
          <w:szCs w:val="28"/>
          <w14:textFill>
            <w14:solidFill>
              <w14:schemeClr w14:val="tx1"/>
            </w14:solidFill>
          </w14:textFill>
        </w:rPr>
      </w:pPr>
      <w:r>
        <w:rPr>
          <w:rFonts w:eastAsia="仿宋_GB2312"/>
          <w:color w:val="000000" w:themeColor="text1"/>
          <w:sz w:val="28"/>
          <w:szCs w:val="28"/>
          <w14:textFill>
            <w14:solidFill>
              <w14:schemeClr w14:val="tx1"/>
            </w14:solidFill>
          </w14:textFill>
        </w:rPr>
        <w:t>本标准与有关法律、行政法规及相关标准没有冲突。</w:t>
      </w:r>
    </w:p>
    <w:p w14:paraId="29BB02F4">
      <w:pPr>
        <w:adjustRightInd w:val="0"/>
        <w:snapToGrid w:val="0"/>
        <w:spacing w:line="560" w:lineRule="exact"/>
        <w:rPr>
          <w:rFonts w:ascii="黑体" w:hAnsi="黑体" w:eastAsia="黑体" w:cs="黑体"/>
          <w:bCs/>
          <w:color w:val="000000" w:themeColor="text1"/>
          <w:kern w:val="44"/>
          <w:sz w:val="28"/>
          <w:szCs w:val="28"/>
          <w14:textFill>
            <w14:solidFill>
              <w14:schemeClr w14:val="tx1"/>
            </w14:solidFill>
          </w14:textFill>
        </w:rPr>
      </w:pPr>
      <w:r>
        <w:rPr>
          <w:rFonts w:hint="eastAsia" w:ascii="黑体" w:hAnsi="黑体" w:eastAsia="黑体" w:cs="黑体"/>
          <w:bCs/>
          <w:color w:val="000000" w:themeColor="text1"/>
          <w:kern w:val="44"/>
          <w:sz w:val="28"/>
          <w:szCs w:val="28"/>
          <w14:textFill>
            <w14:solidFill>
              <w14:schemeClr w14:val="tx1"/>
            </w14:solidFill>
          </w14:textFill>
        </w:rPr>
        <w:t>7 重大分歧意见的处理经过和依据</w:t>
      </w:r>
    </w:p>
    <w:p w14:paraId="2D51010A">
      <w:pPr>
        <w:adjustRightInd w:val="0"/>
        <w:snapToGrid w:val="0"/>
        <w:spacing w:line="560" w:lineRule="exact"/>
        <w:ind w:firstLine="560" w:firstLineChars="200"/>
        <w:outlineLvl w:val="0"/>
        <w:rPr>
          <w:rFonts w:eastAsia="仿宋_GB2312"/>
          <w:color w:val="000000" w:themeColor="text1"/>
          <w:sz w:val="28"/>
          <w:szCs w:val="28"/>
          <w14:textFill>
            <w14:solidFill>
              <w14:schemeClr w14:val="tx1"/>
            </w14:solidFill>
          </w14:textFill>
        </w:rPr>
      </w:pPr>
      <w:r>
        <w:rPr>
          <w:rFonts w:eastAsia="仿宋_GB2312"/>
          <w:color w:val="000000" w:themeColor="text1"/>
          <w:sz w:val="28"/>
          <w:szCs w:val="28"/>
          <w14:textFill>
            <w14:solidFill>
              <w14:schemeClr w14:val="tx1"/>
            </w14:solidFill>
          </w14:textFill>
        </w:rPr>
        <w:t>本标准在修订过程中尚未出现重大分歧意见。</w:t>
      </w:r>
    </w:p>
    <w:p w14:paraId="6AD1BB27">
      <w:pPr>
        <w:adjustRightInd w:val="0"/>
        <w:snapToGrid w:val="0"/>
        <w:spacing w:line="560" w:lineRule="exact"/>
        <w:rPr>
          <w:rFonts w:ascii="黑体" w:hAnsi="黑体" w:eastAsia="黑体" w:cs="黑体"/>
          <w:bCs/>
          <w:color w:val="000000" w:themeColor="text1"/>
          <w:kern w:val="44"/>
          <w:sz w:val="28"/>
          <w:szCs w:val="28"/>
          <w14:textFill>
            <w14:solidFill>
              <w14:schemeClr w14:val="tx1"/>
            </w14:solidFill>
          </w14:textFill>
        </w:rPr>
      </w:pPr>
      <w:r>
        <w:rPr>
          <w:rFonts w:hint="eastAsia" w:ascii="黑体" w:hAnsi="黑体" w:eastAsia="黑体" w:cs="黑体"/>
          <w:bCs/>
          <w:color w:val="000000" w:themeColor="text1"/>
          <w:kern w:val="44"/>
          <w:sz w:val="28"/>
          <w:szCs w:val="28"/>
          <w14:textFill>
            <w14:solidFill>
              <w14:schemeClr w14:val="tx1"/>
            </w14:solidFill>
          </w14:textFill>
        </w:rPr>
        <w:t>8 涉及专利的有关说明</w:t>
      </w:r>
    </w:p>
    <w:p w14:paraId="2E2E8C9A">
      <w:pPr>
        <w:adjustRightInd w:val="0"/>
        <w:snapToGrid w:val="0"/>
        <w:spacing w:line="560" w:lineRule="exact"/>
        <w:ind w:firstLine="560" w:firstLineChars="200"/>
        <w:outlineLvl w:val="0"/>
        <w:rPr>
          <w:rFonts w:ascii="Calibri" w:hAnsi="Calibri" w:eastAsia="仿宋_GB2312" w:cs="Arial"/>
          <w:color w:val="000000" w:themeColor="text1"/>
          <w:sz w:val="28"/>
          <w:szCs w:val="28"/>
          <w14:textFill>
            <w14:solidFill>
              <w14:schemeClr w14:val="tx1"/>
            </w14:solidFill>
          </w14:textFill>
        </w:rPr>
      </w:pPr>
      <w:bookmarkStart w:id="1" w:name="_Hlk152778630"/>
      <w:r>
        <w:rPr>
          <w:rFonts w:hint="eastAsia" w:ascii="Calibri" w:hAnsi="Calibri" w:eastAsia="仿宋_GB2312" w:cs="Arial"/>
          <w:color w:val="000000" w:themeColor="text1"/>
          <w:sz w:val="28"/>
          <w:szCs w:val="28"/>
          <w14:textFill>
            <w14:solidFill>
              <w14:schemeClr w14:val="tx1"/>
            </w14:solidFill>
          </w14:textFill>
        </w:rPr>
        <w:t>本标准内容未涉及专利。</w:t>
      </w:r>
    </w:p>
    <w:bookmarkEnd w:id="1"/>
    <w:p w14:paraId="256EB473">
      <w:pPr>
        <w:adjustRightInd w:val="0"/>
        <w:snapToGrid w:val="0"/>
        <w:spacing w:line="560" w:lineRule="exact"/>
        <w:rPr>
          <w:rFonts w:ascii="黑体" w:hAnsi="黑体" w:eastAsia="黑体" w:cs="黑体"/>
          <w:bCs/>
          <w:color w:val="000000" w:themeColor="text1"/>
          <w:kern w:val="44"/>
          <w:sz w:val="28"/>
          <w:szCs w:val="28"/>
          <w14:textFill>
            <w14:solidFill>
              <w14:schemeClr w14:val="tx1"/>
            </w14:solidFill>
          </w14:textFill>
        </w:rPr>
      </w:pPr>
      <w:r>
        <w:rPr>
          <w:rFonts w:hint="eastAsia" w:ascii="黑体" w:hAnsi="黑体" w:eastAsia="黑体" w:cs="黑体"/>
          <w:bCs/>
          <w:color w:val="000000" w:themeColor="text1"/>
          <w:kern w:val="44"/>
          <w:sz w:val="28"/>
          <w:szCs w:val="28"/>
          <w14:textFill>
            <w14:solidFill>
              <w14:schemeClr w14:val="tx1"/>
            </w14:solidFill>
          </w14:textFill>
        </w:rPr>
        <w:t>9 实施行业标准的要求，以及组织措施、技术措施、过渡期和实施日期的建议等措施建议</w:t>
      </w:r>
    </w:p>
    <w:p w14:paraId="549E1CFF">
      <w:pPr>
        <w:adjustRightInd w:val="0"/>
        <w:snapToGrid w:val="0"/>
        <w:spacing w:line="560" w:lineRule="exact"/>
        <w:outlineLvl w:val="0"/>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 xml:space="preserve">9.1 </w:t>
      </w:r>
      <w:r>
        <w:rPr>
          <w:rFonts w:ascii="黑体" w:hAnsi="黑体" w:eastAsia="黑体"/>
          <w:color w:val="000000" w:themeColor="text1"/>
          <w:sz w:val="28"/>
          <w:szCs w:val="28"/>
          <w14:textFill>
            <w14:solidFill>
              <w14:schemeClr w14:val="tx1"/>
            </w14:solidFill>
          </w14:textFill>
        </w:rPr>
        <w:t>本标准宣贯时应包括下列内容：</w:t>
      </w:r>
    </w:p>
    <w:p w14:paraId="1E004EE6">
      <w:pPr>
        <w:adjustRightInd w:val="0"/>
        <w:snapToGrid w:val="0"/>
        <w:spacing w:line="560" w:lineRule="exact"/>
        <w:ind w:firstLine="425" w:firstLineChars="152"/>
        <w:outlineLvl w:val="0"/>
        <w:rPr>
          <w:rFonts w:eastAsia="仿宋_GB2312"/>
          <w:color w:val="000000" w:themeColor="text1"/>
          <w:sz w:val="28"/>
          <w:szCs w:val="28"/>
          <w14:textFill>
            <w14:solidFill>
              <w14:schemeClr w14:val="tx1"/>
            </w14:solidFill>
          </w14:textFill>
        </w:rPr>
      </w:pPr>
      <w:r>
        <w:rPr>
          <w:rFonts w:eastAsia="仿宋_GB2312"/>
          <w:color w:val="000000" w:themeColor="text1"/>
          <w:sz w:val="28"/>
          <w:szCs w:val="28"/>
          <w14:textFill>
            <w14:solidFill>
              <w14:schemeClr w14:val="tx1"/>
            </w14:solidFill>
          </w14:textFill>
        </w:rPr>
        <w:t>（</w:t>
      </w:r>
      <w:r>
        <w:rPr>
          <w:rFonts w:hint="eastAsia" w:eastAsia="仿宋_GB2312"/>
          <w:color w:val="000000" w:themeColor="text1"/>
          <w:sz w:val="28"/>
          <w:szCs w:val="28"/>
          <w14:textFill>
            <w14:solidFill>
              <w14:schemeClr w14:val="tx1"/>
            </w14:solidFill>
          </w14:textFill>
        </w:rPr>
        <w:t>1</w:t>
      </w:r>
      <w:r>
        <w:rPr>
          <w:rFonts w:eastAsia="仿宋_GB2312"/>
          <w:color w:val="000000" w:themeColor="text1"/>
          <w:sz w:val="28"/>
          <w:szCs w:val="28"/>
          <w14:textFill>
            <w14:solidFill>
              <w14:schemeClr w14:val="tx1"/>
            </w14:solidFill>
          </w14:textFill>
        </w:rPr>
        <w:t>）介绍本标准修订的原因、过程及意义；</w:t>
      </w:r>
    </w:p>
    <w:p w14:paraId="74B94E8A">
      <w:pPr>
        <w:adjustRightInd w:val="0"/>
        <w:snapToGrid w:val="0"/>
        <w:spacing w:line="560" w:lineRule="exact"/>
        <w:ind w:firstLine="425" w:firstLineChars="152"/>
        <w:outlineLvl w:val="0"/>
        <w:rPr>
          <w:rFonts w:eastAsia="仿宋_GB2312"/>
          <w:color w:val="000000" w:themeColor="text1"/>
          <w:sz w:val="28"/>
          <w:szCs w:val="28"/>
          <w14:textFill>
            <w14:solidFill>
              <w14:schemeClr w14:val="tx1"/>
            </w14:solidFill>
          </w14:textFill>
        </w:rPr>
      </w:pPr>
      <w:r>
        <w:rPr>
          <w:rFonts w:eastAsia="仿宋_GB2312"/>
          <w:color w:val="000000" w:themeColor="text1"/>
          <w:sz w:val="28"/>
          <w:szCs w:val="28"/>
          <w14:textFill>
            <w14:solidFill>
              <w14:schemeClr w14:val="tx1"/>
            </w14:solidFill>
          </w14:textFill>
        </w:rPr>
        <w:t>（</w:t>
      </w:r>
      <w:r>
        <w:rPr>
          <w:rFonts w:hint="eastAsia" w:eastAsia="仿宋_GB2312"/>
          <w:color w:val="000000" w:themeColor="text1"/>
          <w:sz w:val="28"/>
          <w:szCs w:val="28"/>
          <w14:textFill>
            <w14:solidFill>
              <w14:schemeClr w14:val="tx1"/>
            </w14:solidFill>
          </w14:textFill>
        </w:rPr>
        <w:t>2</w:t>
      </w:r>
      <w:r>
        <w:rPr>
          <w:rFonts w:eastAsia="仿宋_GB2312"/>
          <w:color w:val="000000" w:themeColor="text1"/>
          <w:sz w:val="28"/>
          <w:szCs w:val="28"/>
          <w14:textFill>
            <w14:solidFill>
              <w14:schemeClr w14:val="tx1"/>
            </w14:solidFill>
          </w14:textFill>
        </w:rPr>
        <w:t>）介绍和解释本标准的主要技术内容；</w:t>
      </w:r>
    </w:p>
    <w:p w14:paraId="5849E638">
      <w:pPr>
        <w:adjustRightInd w:val="0"/>
        <w:snapToGrid w:val="0"/>
        <w:spacing w:line="560" w:lineRule="exact"/>
        <w:ind w:firstLine="425" w:firstLineChars="152"/>
        <w:outlineLvl w:val="0"/>
        <w:rPr>
          <w:rFonts w:eastAsia="仿宋_GB2312"/>
          <w:color w:val="000000" w:themeColor="text1"/>
          <w:sz w:val="28"/>
          <w:szCs w:val="28"/>
          <w14:textFill>
            <w14:solidFill>
              <w14:schemeClr w14:val="tx1"/>
            </w14:solidFill>
          </w14:textFill>
        </w:rPr>
      </w:pPr>
      <w:r>
        <w:rPr>
          <w:rFonts w:eastAsia="仿宋_GB2312"/>
          <w:color w:val="000000" w:themeColor="text1"/>
          <w:sz w:val="28"/>
          <w:szCs w:val="28"/>
          <w14:textFill>
            <w14:solidFill>
              <w14:schemeClr w14:val="tx1"/>
            </w14:solidFill>
          </w14:textFill>
        </w:rPr>
        <w:t>（</w:t>
      </w:r>
      <w:r>
        <w:rPr>
          <w:rFonts w:hint="eastAsia" w:eastAsia="仿宋_GB2312"/>
          <w:color w:val="000000" w:themeColor="text1"/>
          <w:sz w:val="28"/>
          <w:szCs w:val="28"/>
          <w14:textFill>
            <w14:solidFill>
              <w14:schemeClr w14:val="tx1"/>
            </w14:solidFill>
          </w14:textFill>
        </w:rPr>
        <w:t>3</w:t>
      </w:r>
      <w:r>
        <w:rPr>
          <w:rFonts w:eastAsia="仿宋_GB2312"/>
          <w:color w:val="000000" w:themeColor="text1"/>
          <w:sz w:val="28"/>
          <w:szCs w:val="28"/>
          <w14:textFill>
            <w14:solidFill>
              <w14:schemeClr w14:val="tx1"/>
            </w14:solidFill>
          </w14:textFill>
        </w:rPr>
        <w:t>）本标准实施过程中可能遇到的问题及解决办法。</w:t>
      </w:r>
    </w:p>
    <w:p w14:paraId="54589914">
      <w:pPr>
        <w:adjustRightInd w:val="0"/>
        <w:snapToGrid w:val="0"/>
        <w:spacing w:line="560" w:lineRule="exact"/>
        <w:outlineLvl w:val="0"/>
        <w:rPr>
          <w:rFonts w:eastAsia="仿宋_GB2312"/>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9.2</w:t>
      </w:r>
      <w:r>
        <w:rPr>
          <w:rFonts w:ascii="黑体" w:hAnsi="黑体" w:eastAsia="黑体"/>
          <w:color w:val="000000" w:themeColor="text1"/>
          <w:sz w:val="28"/>
          <w:szCs w:val="28"/>
          <w14:textFill>
            <w14:solidFill>
              <w14:schemeClr w14:val="tx1"/>
            </w14:solidFill>
          </w14:textFill>
        </w:rPr>
        <w:t>本标准宣贯时建议采用下列形式：</w:t>
      </w:r>
    </w:p>
    <w:p w14:paraId="2E3D08C4">
      <w:pPr>
        <w:adjustRightInd w:val="0"/>
        <w:snapToGrid w:val="0"/>
        <w:spacing w:line="560" w:lineRule="exact"/>
        <w:ind w:firstLine="425" w:firstLineChars="152"/>
        <w:outlineLvl w:val="0"/>
        <w:rPr>
          <w:rFonts w:eastAsia="仿宋_GB2312"/>
          <w:color w:val="000000" w:themeColor="text1"/>
          <w:sz w:val="28"/>
          <w:szCs w:val="28"/>
          <w14:textFill>
            <w14:solidFill>
              <w14:schemeClr w14:val="tx1"/>
            </w14:solidFill>
          </w14:textFill>
        </w:rPr>
      </w:pPr>
      <w:r>
        <w:rPr>
          <w:rFonts w:eastAsia="仿宋_GB2312"/>
          <w:color w:val="000000" w:themeColor="text1"/>
          <w:sz w:val="28"/>
          <w:szCs w:val="28"/>
          <w14:textFill>
            <w14:solidFill>
              <w14:schemeClr w14:val="tx1"/>
            </w14:solidFill>
          </w14:textFill>
        </w:rPr>
        <w:t>（</w:t>
      </w:r>
      <w:r>
        <w:rPr>
          <w:rFonts w:hint="eastAsia" w:eastAsia="仿宋_GB2312"/>
          <w:color w:val="000000" w:themeColor="text1"/>
          <w:sz w:val="28"/>
          <w:szCs w:val="28"/>
          <w14:textFill>
            <w14:solidFill>
              <w14:schemeClr w14:val="tx1"/>
            </w14:solidFill>
          </w14:textFill>
        </w:rPr>
        <w:t>1</w:t>
      </w:r>
      <w:r>
        <w:rPr>
          <w:rFonts w:eastAsia="仿宋_GB2312"/>
          <w:color w:val="000000" w:themeColor="text1"/>
          <w:sz w:val="28"/>
          <w:szCs w:val="28"/>
          <w14:textFill>
            <w14:solidFill>
              <w14:schemeClr w14:val="tx1"/>
            </w14:solidFill>
          </w14:textFill>
        </w:rPr>
        <w:t>） 举办有关生产使用企业和检验机构的有关人员参加的标准宣贯培训班；</w:t>
      </w:r>
    </w:p>
    <w:p w14:paraId="0D357CB8">
      <w:pPr>
        <w:adjustRightInd w:val="0"/>
        <w:snapToGrid w:val="0"/>
        <w:spacing w:line="560" w:lineRule="exact"/>
        <w:ind w:firstLine="425" w:firstLineChars="152"/>
        <w:outlineLvl w:val="0"/>
        <w:rPr>
          <w:rFonts w:eastAsia="仿宋_GB2312"/>
          <w:color w:val="000000" w:themeColor="text1"/>
          <w:sz w:val="28"/>
          <w:szCs w:val="28"/>
          <w14:textFill>
            <w14:solidFill>
              <w14:schemeClr w14:val="tx1"/>
            </w14:solidFill>
          </w14:textFill>
        </w:rPr>
      </w:pPr>
      <w:r>
        <w:rPr>
          <w:rFonts w:eastAsia="仿宋_GB2312"/>
          <w:color w:val="000000" w:themeColor="text1"/>
          <w:sz w:val="28"/>
          <w:szCs w:val="28"/>
          <w14:textFill>
            <w14:solidFill>
              <w14:schemeClr w14:val="tx1"/>
            </w14:solidFill>
          </w14:textFill>
        </w:rPr>
        <w:t>（</w:t>
      </w:r>
      <w:r>
        <w:rPr>
          <w:rFonts w:hint="eastAsia" w:eastAsia="仿宋_GB2312"/>
          <w:color w:val="000000" w:themeColor="text1"/>
          <w:sz w:val="28"/>
          <w:szCs w:val="28"/>
          <w14:textFill>
            <w14:solidFill>
              <w14:schemeClr w14:val="tx1"/>
            </w14:solidFill>
          </w14:textFill>
        </w:rPr>
        <w:t>2</w:t>
      </w:r>
      <w:r>
        <w:rPr>
          <w:rFonts w:eastAsia="仿宋_GB2312"/>
          <w:color w:val="000000" w:themeColor="text1"/>
          <w:sz w:val="28"/>
          <w:szCs w:val="28"/>
          <w14:textFill>
            <w14:solidFill>
              <w14:schemeClr w14:val="tx1"/>
            </w14:solidFill>
          </w14:textFill>
        </w:rPr>
        <w:t>）由标准起草人员到有关企业和检验机构，对相关人员进行现场宣讲、示范操作。</w:t>
      </w:r>
    </w:p>
    <w:p w14:paraId="479CCE3E">
      <w:pPr>
        <w:adjustRightInd w:val="0"/>
        <w:snapToGrid w:val="0"/>
        <w:spacing w:line="560" w:lineRule="exact"/>
        <w:outlineLvl w:val="0"/>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 xml:space="preserve">9.3 </w:t>
      </w:r>
      <w:r>
        <w:rPr>
          <w:rFonts w:ascii="黑体" w:hAnsi="黑体" w:eastAsia="黑体"/>
          <w:color w:val="000000" w:themeColor="text1"/>
          <w:sz w:val="28"/>
          <w:szCs w:val="28"/>
          <w14:textFill>
            <w14:solidFill>
              <w14:schemeClr w14:val="tx1"/>
            </w14:solidFill>
          </w14:textFill>
        </w:rPr>
        <w:t>本标准建议的实施日期</w:t>
      </w:r>
    </w:p>
    <w:p w14:paraId="1D0DE417">
      <w:pPr>
        <w:adjustRightInd w:val="0"/>
        <w:snapToGrid w:val="0"/>
        <w:spacing w:line="560" w:lineRule="exact"/>
        <w:ind w:firstLine="560" w:firstLineChars="200"/>
        <w:outlineLvl w:val="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本标准自发布之日起半年后实施，同时废止GB/T 8290—2021与GB/T 24130—2009。</w:t>
      </w:r>
    </w:p>
    <w:p w14:paraId="79B1F041">
      <w:pPr>
        <w:adjustRightInd w:val="0"/>
        <w:snapToGrid w:val="0"/>
        <w:spacing w:line="560" w:lineRule="exact"/>
        <w:outlineLvl w:val="0"/>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10 涉及公平竞争审查有关内容</w:t>
      </w:r>
    </w:p>
    <w:p w14:paraId="1589412C">
      <w:pPr>
        <w:adjustRightInd w:val="0"/>
        <w:snapToGrid w:val="0"/>
        <w:spacing w:line="560" w:lineRule="exact"/>
        <w:ind w:firstLine="560" w:firstLineChars="200"/>
        <w:outlineLvl w:val="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按照《国家标准化管理委员会关于国家标准起草中开展公平竞争审查的通知》（国标委发〔2025〕18号）文件要求，对本文件是否限制或者变相限制市场准入和退出、是否限制商品要素自由流动、是否影响生产经营成本、是否影响生产经营行为、是否使用《公平竞争审查条例》第十二条规定进行审查。本标准符合公平竞争要求。</w:t>
      </w:r>
    </w:p>
    <w:p w14:paraId="5DD70D2C">
      <w:pPr>
        <w:adjustRightInd w:val="0"/>
        <w:snapToGrid w:val="0"/>
        <w:spacing w:line="560" w:lineRule="exact"/>
        <w:rPr>
          <w:rFonts w:ascii="黑体" w:hAnsi="黑体" w:eastAsia="黑体" w:cs="黑体"/>
          <w:bCs/>
          <w:color w:val="000000" w:themeColor="text1"/>
          <w:kern w:val="44"/>
          <w:sz w:val="28"/>
          <w:szCs w:val="28"/>
          <w14:textFill>
            <w14:solidFill>
              <w14:schemeClr w14:val="tx1"/>
            </w14:solidFill>
          </w14:textFill>
        </w:rPr>
      </w:pPr>
      <w:r>
        <w:rPr>
          <w:rFonts w:hint="eastAsia" w:ascii="黑体" w:hAnsi="黑体" w:eastAsia="黑体" w:cs="黑体"/>
          <w:bCs/>
          <w:color w:val="000000" w:themeColor="text1"/>
          <w:kern w:val="44"/>
          <w:sz w:val="28"/>
          <w:szCs w:val="28"/>
          <w14:textFill>
            <w14:solidFill>
              <w14:schemeClr w14:val="tx1"/>
            </w14:solidFill>
          </w14:textFill>
        </w:rPr>
        <w:t>11 其他应予说明的事项</w:t>
      </w:r>
    </w:p>
    <w:p w14:paraId="50370CC0">
      <w:pPr>
        <w:adjustRightInd w:val="0"/>
        <w:snapToGrid w:val="0"/>
        <w:spacing w:line="560" w:lineRule="exact"/>
        <w:ind w:firstLine="560" w:firstLineChars="200"/>
        <w:rPr>
          <w:rFonts w:eastAsia="仿宋_GB2312"/>
          <w:color w:val="000000" w:themeColor="text1"/>
          <w:sz w:val="28"/>
          <w:szCs w:val="28"/>
          <w14:textFill>
            <w14:solidFill>
              <w14:schemeClr w14:val="tx1"/>
            </w14:solidFill>
          </w14:textFill>
        </w:rPr>
      </w:pPr>
      <w:r>
        <w:rPr>
          <w:rFonts w:hint="eastAsia" w:eastAsia="仿宋_GB2312"/>
          <w:color w:val="000000" w:themeColor="text1"/>
          <w:sz w:val="28"/>
          <w:szCs w:val="28"/>
          <w14:textFill>
            <w14:solidFill>
              <w14:schemeClr w14:val="tx1"/>
            </w14:solidFill>
          </w14:textFill>
        </w:rPr>
        <w:t>无</w:t>
      </w:r>
    </w:p>
    <w:p w14:paraId="42F931DF">
      <w:pPr>
        <w:pStyle w:val="20"/>
        <w:spacing w:line="360" w:lineRule="auto"/>
        <w:ind w:left="360" w:right="120" w:firstLine="0" w:firstLineChars="0"/>
        <w:jc w:val="right"/>
        <w:rPr>
          <w:rFonts w:ascii="宋体" w:hAnsi="宋体"/>
          <w:color w:val="000000" w:themeColor="text1"/>
          <w:sz w:val="24"/>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李一民" w:date="2025-09-01T11:47:00Z" w:initials="">
    <w:p w14:paraId="5AD193BE">
      <w:pPr>
        <w:pStyle w:val="3"/>
      </w:pPr>
      <w:r>
        <w:annotationRef/>
      </w:r>
    </w:p>
  </w:comment>
  <w:comment w:id="1" w:author="李一民" w:date="2025-08-29T10:10:00Z" w:initials="">
    <w:p w14:paraId="4DF9F97E">
      <w:pPr>
        <w:pStyle w:val="3"/>
      </w:pPr>
      <w:r>
        <w:rPr>
          <w:rFonts w:hint="eastAsia"/>
        </w:rPr>
        <w:t>与稿子一致</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AD193BE" w15:done="0"/>
  <w15:commentEx w15:paraId="4DF9F97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2312">
    <w:panose1 w:val="02000000000000000000"/>
    <w:charset w:val="86"/>
    <w:family w:val="auto"/>
    <w:pitch w:val="default"/>
    <w:sig w:usb0="A00002BF" w:usb1="184F6CFA" w:usb2="00000012" w:usb3="00000000" w:csb0="00040001" w:csb1="00000000"/>
  </w:font>
  <w:font w:name="汉仪粗圆简">
    <w:panose1 w:val="02010600000101010101"/>
    <w:charset w:val="86"/>
    <w:family w:val="auto"/>
    <w:pitch w:val="default"/>
    <w:sig w:usb0="00000001" w:usb1="080E0800" w:usb2="00000002"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D249E8"/>
    <w:multiLevelType w:val="singleLevel"/>
    <w:tmpl w:val="AED249E8"/>
    <w:lvl w:ilvl="0" w:tentative="0">
      <w:start w:val="1"/>
      <w:numFmt w:val="decimal"/>
      <w:suff w:val="space"/>
      <w:lvlText w:val="(%1)"/>
      <w:lvlJc w:val="left"/>
      <w:pPr>
        <w:ind w:left="425" w:hanging="425"/>
      </w:pPr>
      <w:rPr>
        <w:rFonts w:hint="default"/>
        <w:color w:val="000000" w:themeColor="text1"/>
        <w14:textFill>
          <w14:solidFill>
            <w14:schemeClr w14:val="tx1"/>
          </w14:solidFill>
        </w14:textFill>
      </w:rPr>
    </w:lvl>
  </w:abstractNum>
  <w:abstractNum w:abstractNumId="1">
    <w:nsid w:val="21F95781"/>
    <w:multiLevelType w:val="singleLevel"/>
    <w:tmpl w:val="21F95781"/>
    <w:lvl w:ilvl="0" w:tentative="0">
      <w:start w:val="1"/>
      <w:numFmt w:val="decimal"/>
      <w:suff w:val="space"/>
      <w:lvlText w:val="(%1)"/>
      <w:lvlJc w:val="left"/>
      <w:pPr>
        <w:ind w:left="425" w:hanging="425"/>
      </w:pPr>
      <w:rPr>
        <w:rFonts w:hint="default"/>
      </w:rPr>
    </w:lvl>
  </w:abstractNum>
  <w:abstractNum w:abstractNumId="2">
    <w:nsid w:val="2C5917C3"/>
    <w:multiLevelType w:val="multilevel"/>
    <w:tmpl w:val="2C5917C3"/>
    <w:lvl w:ilvl="0" w:tentative="0">
      <w:start w:val="1"/>
      <w:numFmt w:val="none"/>
      <w:pStyle w:val="27"/>
      <w:lvlText w:val="%1——"/>
      <w:lvlJc w:val="left"/>
      <w:pPr>
        <w:tabs>
          <w:tab w:val="left" w:pos="2128"/>
        </w:tabs>
        <w:ind w:left="2128" w:hanging="426"/>
      </w:pPr>
      <w:rPr>
        <w:rFonts w:hint="eastAsia" w:ascii="宋体" w:hAnsi="Times New Roman" w:eastAsia="宋体"/>
        <w:b w:val="0"/>
        <w:i w:val="0"/>
        <w:sz w:val="21"/>
      </w:rPr>
    </w:lvl>
    <w:lvl w:ilvl="1" w:tentative="0">
      <w:start w:val="1"/>
      <w:numFmt w:val="none"/>
      <w:lvlText w:val=""/>
      <w:lvlJc w:val="left"/>
      <w:pPr>
        <w:ind w:left="851" w:hanging="431"/>
      </w:pPr>
      <w:rPr>
        <w:rFonts w:hint="default" w:ascii="Symbol" w:hAnsi="Symbol"/>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3">
    <w:nsid w:val="44C50F90"/>
    <w:multiLevelType w:val="multilevel"/>
    <w:tmpl w:val="44C50F90"/>
    <w:lvl w:ilvl="0" w:tentative="0">
      <w:start w:val="1"/>
      <w:numFmt w:val="lowerLetter"/>
      <w:pStyle w:val="28"/>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24"/>
      <w:suff w:val="nothing"/>
      <w:lvlText w:val="%1%2　"/>
      <w:lvlJc w:val="left"/>
      <w:pPr>
        <w:ind w:left="0" w:firstLine="0"/>
      </w:pPr>
      <w:rPr>
        <w:rFonts w:hint="eastAsia" w:ascii="黑体" w:eastAsia="黑体"/>
        <w:b w:val="0"/>
        <w:i w:val="0"/>
        <w:sz w:val="21"/>
      </w:rPr>
    </w:lvl>
    <w:lvl w:ilvl="2" w:tentative="0">
      <w:start w:val="1"/>
      <w:numFmt w:val="decimal"/>
      <w:pStyle w:val="23"/>
      <w:suff w:val="nothing"/>
      <w:lvlText w:val="%1%2.%3　"/>
      <w:lvlJc w:val="left"/>
      <w:pPr>
        <w:ind w:left="14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26"/>
      <w:suff w:val="nothing"/>
      <w:lvlText w:val="%1%2.%3.%4　"/>
      <w:lvlJc w:val="left"/>
      <w:pPr>
        <w:ind w:left="0" w:firstLine="0"/>
      </w:pPr>
      <w:rPr>
        <w:rFonts w:hint="eastAsia" w:ascii="黑体" w:eastAsia="黑体"/>
        <w:b w:val="0"/>
        <w:i w:val="0"/>
        <w:sz w:val="21"/>
      </w:rPr>
    </w:lvl>
    <w:lvl w:ilvl="4" w:tentative="0">
      <w:start w:val="1"/>
      <w:numFmt w:val="decimal"/>
      <w:pStyle w:val="25"/>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78CCD505"/>
    <w:multiLevelType w:val="singleLevel"/>
    <w:tmpl w:val="78CCD505"/>
    <w:lvl w:ilvl="0" w:tentative="0">
      <w:start w:val="1"/>
      <w:numFmt w:val="decimal"/>
      <w:suff w:val="space"/>
      <w:lvlText w:val="(%1)"/>
      <w:lvlJc w:val="left"/>
      <w:pPr>
        <w:ind w:left="425" w:hanging="425"/>
      </w:pPr>
      <w:rPr>
        <w:rFonts w:hint="default"/>
        <w:color w:val="000000" w:themeColor="text1"/>
        <w14:textFill>
          <w14:solidFill>
            <w14:schemeClr w14:val="tx1"/>
          </w14:solidFill>
        </w14:textFill>
      </w:rPr>
    </w:lvl>
  </w:abstractNum>
  <w:num w:numId="1">
    <w:abstractNumId w:val="4"/>
  </w:num>
  <w:num w:numId="2">
    <w:abstractNumId w:val="2"/>
  </w:num>
  <w:num w:numId="3">
    <w:abstractNumId w:val="3"/>
  </w:num>
  <w:num w:numId="4">
    <w:abstractNumId w:val="1"/>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一民">
    <w15:presenceInfo w15:providerId="WPS Office" w15:userId="16106613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MTgxNmE2ZDFiZjVjODA2ODZiNWVlYWY1ZTIzM2EifQ=="/>
  </w:docVars>
  <w:rsids>
    <w:rsidRoot w:val="00C540D8"/>
    <w:rsid w:val="00024D29"/>
    <w:rsid w:val="000339DD"/>
    <w:rsid w:val="00073E70"/>
    <w:rsid w:val="0021304F"/>
    <w:rsid w:val="00355CD2"/>
    <w:rsid w:val="003A59E5"/>
    <w:rsid w:val="004F5A45"/>
    <w:rsid w:val="00572CAC"/>
    <w:rsid w:val="006607E3"/>
    <w:rsid w:val="006B20FE"/>
    <w:rsid w:val="006D02C6"/>
    <w:rsid w:val="0081021A"/>
    <w:rsid w:val="0084102F"/>
    <w:rsid w:val="008945F5"/>
    <w:rsid w:val="00945BEB"/>
    <w:rsid w:val="00957A7B"/>
    <w:rsid w:val="00A56E9C"/>
    <w:rsid w:val="00AE01C4"/>
    <w:rsid w:val="00AF64CD"/>
    <w:rsid w:val="00B03A47"/>
    <w:rsid w:val="00B537C0"/>
    <w:rsid w:val="00B565A7"/>
    <w:rsid w:val="00C13D1A"/>
    <w:rsid w:val="00C540D8"/>
    <w:rsid w:val="00CC2230"/>
    <w:rsid w:val="00CF1469"/>
    <w:rsid w:val="00DA7042"/>
    <w:rsid w:val="00DC4782"/>
    <w:rsid w:val="00E562CE"/>
    <w:rsid w:val="00E95214"/>
    <w:rsid w:val="00FD58ED"/>
    <w:rsid w:val="010F5D46"/>
    <w:rsid w:val="015437C4"/>
    <w:rsid w:val="01777464"/>
    <w:rsid w:val="01D67A51"/>
    <w:rsid w:val="01DF126F"/>
    <w:rsid w:val="01E76BCE"/>
    <w:rsid w:val="02132F56"/>
    <w:rsid w:val="021A3FD6"/>
    <w:rsid w:val="022D47C6"/>
    <w:rsid w:val="02393B85"/>
    <w:rsid w:val="02493BF9"/>
    <w:rsid w:val="024965C0"/>
    <w:rsid w:val="025B42D7"/>
    <w:rsid w:val="02676EFE"/>
    <w:rsid w:val="026D206C"/>
    <w:rsid w:val="028306A0"/>
    <w:rsid w:val="02961672"/>
    <w:rsid w:val="02B227A6"/>
    <w:rsid w:val="02B92B02"/>
    <w:rsid w:val="03067EC4"/>
    <w:rsid w:val="03144B3E"/>
    <w:rsid w:val="03587302"/>
    <w:rsid w:val="03684E20"/>
    <w:rsid w:val="03855FA6"/>
    <w:rsid w:val="03867E69"/>
    <w:rsid w:val="03D35B6E"/>
    <w:rsid w:val="04407953"/>
    <w:rsid w:val="04595A9B"/>
    <w:rsid w:val="0473567E"/>
    <w:rsid w:val="04951944"/>
    <w:rsid w:val="04AD201F"/>
    <w:rsid w:val="05342E88"/>
    <w:rsid w:val="05806A1F"/>
    <w:rsid w:val="05AB1410"/>
    <w:rsid w:val="060A7B3C"/>
    <w:rsid w:val="065969AD"/>
    <w:rsid w:val="06937F47"/>
    <w:rsid w:val="069B4989"/>
    <w:rsid w:val="06A938D2"/>
    <w:rsid w:val="06D647E5"/>
    <w:rsid w:val="06D96362"/>
    <w:rsid w:val="06F7061E"/>
    <w:rsid w:val="07023A1A"/>
    <w:rsid w:val="071E6A67"/>
    <w:rsid w:val="072B43ED"/>
    <w:rsid w:val="07320676"/>
    <w:rsid w:val="07347160"/>
    <w:rsid w:val="07505C4F"/>
    <w:rsid w:val="076700B9"/>
    <w:rsid w:val="076C54BA"/>
    <w:rsid w:val="077319DF"/>
    <w:rsid w:val="078328FA"/>
    <w:rsid w:val="07954B88"/>
    <w:rsid w:val="07ED3806"/>
    <w:rsid w:val="08073036"/>
    <w:rsid w:val="080E0BAE"/>
    <w:rsid w:val="08123231"/>
    <w:rsid w:val="082D6FB0"/>
    <w:rsid w:val="0831103E"/>
    <w:rsid w:val="087D0726"/>
    <w:rsid w:val="08D20F84"/>
    <w:rsid w:val="09012972"/>
    <w:rsid w:val="090D263E"/>
    <w:rsid w:val="092D4D1C"/>
    <w:rsid w:val="094C67E9"/>
    <w:rsid w:val="094D2C5C"/>
    <w:rsid w:val="09990F95"/>
    <w:rsid w:val="09B85EB7"/>
    <w:rsid w:val="09DA5C78"/>
    <w:rsid w:val="0A112E80"/>
    <w:rsid w:val="0A4240C5"/>
    <w:rsid w:val="0A46784A"/>
    <w:rsid w:val="0A575325"/>
    <w:rsid w:val="0A641D32"/>
    <w:rsid w:val="0A7A17CA"/>
    <w:rsid w:val="0A9758AD"/>
    <w:rsid w:val="0AC6672F"/>
    <w:rsid w:val="0B0126D5"/>
    <w:rsid w:val="0B040812"/>
    <w:rsid w:val="0B315B7D"/>
    <w:rsid w:val="0B3830BE"/>
    <w:rsid w:val="0B3D4308"/>
    <w:rsid w:val="0BA10D6A"/>
    <w:rsid w:val="0BDA3EC6"/>
    <w:rsid w:val="0BEC1270"/>
    <w:rsid w:val="0C046156"/>
    <w:rsid w:val="0C0D15D3"/>
    <w:rsid w:val="0C285A6C"/>
    <w:rsid w:val="0C571A40"/>
    <w:rsid w:val="0C725184"/>
    <w:rsid w:val="0C9C4E7C"/>
    <w:rsid w:val="0CA80809"/>
    <w:rsid w:val="0CDC3FC2"/>
    <w:rsid w:val="0D0D56F6"/>
    <w:rsid w:val="0D501EC8"/>
    <w:rsid w:val="0D58553C"/>
    <w:rsid w:val="0D651589"/>
    <w:rsid w:val="0D6C765B"/>
    <w:rsid w:val="0D73298C"/>
    <w:rsid w:val="0DEA117D"/>
    <w:rsid w:val="0E3E4F77"/>
    <w:rsid w:val="0E7F1356"/>
    <w:rsid w:val="0E89106D"/>
    <w:rsid w:val="0EE76E59"/>
    <w:rsid w:val="0EED09C2"/>
    <w:rsid w:val="0EEE5C6A"/>
    <w:rsid w:val="0F0E256C"/>
    <w:rsid w:val="0F2F2280"/>
    <w:rsid w:val="0F4E59E5"/>
    <w:rsid w:val="0FC02E5D"/>
    <w:rsid w:val="0FE44F1A"/>
    <w:rsid w:val="102B54A2"/>
    <w:rsid w:val="105360B2"/>
    <w:rsid w:val="10667503"/>
    <w:rsid w:val="106F1F25"/>
    <w:rsid w:val="10B50107"/>
    <w:rsid w:val="10CE04F0"/>
    <w:rsid w:val="10EB79BB"/>
    <w:rsid w:val="113738BB"/>
    <w:rsid w:val="114E7BE5"/>
    <w:rsid w:val="11522761"/>
    <w:rsid w:val="117920A4"/>
    <w:rsid w:val="1184379D"/>
    <w:rsid w:val="11C813A2"/>
    <w:rsid w:val="11DE3527"/>
    <w:rsid w:val="121054AB"/>
    <w:rsid w:val="122302F3"/>
    <w:rsid w:val="125A4086"/>
    <w:rsid w:val="12747CDA"/>
    <w:rsid w:val="127F1866"/>
    <w:rsid w:val="12B150AB"/>
    <w:rsid w:val="12C54339"/>
    <w:rsid w:val="12EF2601"/>
    <w:rsid w:val="13170770"/>
    <w:rsid w:val="1326063F"/>
    <w:rsid w:val="133F5BEB"/>
    <w:rsid w:val="135F0A97"/>
    <w:rsid w:val="138632E0"/>
    <w:rsid w:val="138A5F99"/>
    <w:rsid w:val="1390674B"/>
    <w:rsid w:val="13F56E49"/>
    <w:rsid w:val="13FF25D6"/>
    <w:rsid w:val="14051074"/>
    <w:rsid w:val="1442278E"/>
    <w:rsid w:val="147A49EB"/>
    <w:rsid w:val="14A431C3"/>
    <w:rsid w:val="14B92B0B"/>
    <w:rsid w:val="14C61AB4"/>
    <w:rsid w:val="14CF6435"/>
    <w:rsid w:val="14F93746"/>
    <w:rsid w:val="153D5844"/>
    <w:rsid w:val="155249A6"/>
    <w:rsid w:val="155F20EF"/>
    <w:rsid w:val="156026DF"/>
    <w:rsid w:val="156171AF"/>
    <w:rsid w:val="1571355B"/>
    <w:rsid w:val="159177F0"/>
    <w:rsid w:val="15C32AB9"/>
    <w:rsid w:val="15DD3A7D"/>
    <w:rsid w:val="15DF764C"/>
    <w:rsid w:val="15F34D92"/>
    <w:rsid w:val="162451FC"/>
    <w:rsid w:val="167A3593"/>
    <w:rsid w:val="16B057F4"/>
    <w:rsid w:val="16DC7697"/>
    <w:rsid w:val="16FB24EA"/>
    <w:rsid w:val="17190663"/>
    <w:rsid w:val="17644D9A"/>
    <w:rsid w:val="17654A5A"/>
    <w:rsid w:val="176A0C58"/>
    <w:rsid w:val="177B0C46"/>
    <w:rsid w:val="17A40879"/>
    <w:rsid w:val="17C74DA7"/>
    <w:rsid w:val="17F133B0"/>
    <w:rsid w:val="18022764"/>
    <w:rsid w:val="1805357E"/>
    <w:rsid w:val="18311A83"/>
    <w:rsid w:val="183D1042"/>
    <w:rsid w:val="186D32CF"/>
    <w:rsid w:val="18741BFA"/>
    <w:rsid w:val="187535D7"/>
    <w:rsid w:val="18932F75"/>
    <w:rsid w:val="18945478"/>
    <w:rsid w:val="18AC16A2"/>
    <w:rsid w:val="18CB0746"/>
    <w:rsid w:val="18F41718"/>
    <w:rsid w:val="19233C99"/>
    <w:rsid w:val="193F6B65"/>
    <w:rsid w:val="194C51AB"/>
    <w:rsid w:val="196F611B"/>
    <w:rsid w:val="1987090D"/>
    <w:rsid w:val="19926094"/>
    <w:rsid w:val="199A4DEC"/>
    <w:rsid w:val="19A53AC4"/>
    <w:rsid w:val="1A1B5BE9"/>
    <w:rsid w:val="1A5126EE"/>
    <w:rsid w:val="1AA76B8D"/>
    <w:rsid w:val="1AAA6167"/>
    <w:rsid w:val="1AC74434"/>
    <w:rsid w:val="1AF213D3"/>
    <w:rsid w:val="1B0E0566"/>
    <w:rsid w:val="1B223E1E"/>
    <w:rsid w:val="1B781872"/>
    <w:rsid w:val="1B791EB7"/>
    <w:rsid w:val="1B8231C1"/>
    <w:rsid w:val="1B890837"/>
    <w:rsid w:val="1B9765F2"/>
    <w:rsid w:val="1BC712EA"/>
    <w:rsid w:val="1C3863F9"/>
    <w:rsid w:val="1C437B22"/>
    <w:rsid w:val="1C4701E9"/>
    <w:rsid w:val="1C60574F"/>
    <w:rsid w:val="1C852A1C"/>
    <w:rsid w:val="1C9426FB"/>
    <w:rsid w:val="1CC4657F"/>
    <w:rsid w:val="1CD533A1"/>
    <w:rsid w:val="1CE358F9"/>
    <w:rsid w:val="1D03542A"/>
    <w:rsid w:val="1D1213CB"/>
    <w:rsid w:val="1D2D78E8"/>
    <w:rsid w:val="1D62010E"/>
    <w:rsid w:val="1DB732AB"/>
    <w:rsid w:val="1DFB55C1"/>
    <w:rsid w:val="1DFD1475"/>
    <w:rsid w:val="1DFE7232"/>
    <w:rsid w:val="1E0F58FB"/>
    <w:rsid w:val="1E2D6EAE"/>
    <w:rsid w:val="1E4959BD"/>
    <w:rsid w:val="1E720A13"/>
    <w:rsid w:val="1E8A610E"/>
    <w:rsid w:val="1EC3478A"/>
    <w:rsid w:val="1EEE6232"/>
    <w:rsid w:val="1F317E63"/>
    <w:rsid w:val="1F4159F7"/>
    <w:rsid w:val="1F755C20"/>
    <w:rsid w:val="1FA65579"/>
    <w:rsid w:val="1FAE4997"/>
    <w:rsid w:val="1FB16086"/>
    <w:rsid w:val="1FE9104C"/>
    <w:rsid w:val="1FF24910"/>
    <w:rsid w:val="201C5939"/>
    <w:rsid w:val="20605F5B"/>
    <w:rsid w:val="20B55864"/>
    <w:rsid w:val="20D50302"/>
    <w:rsid w:val="20E06E5E"/>
    <w:rsid w:val="20E43E03"/>
    <w:rsid w:val="20E52AB2"/>
    <w:rsid w:val="20F96873"/>
    <w:rsid w:val="20FE6C03"/>
    <w:rsid w:val="214F21EB"/>
    <w:rsid w:val="215540A0"/>
    <w:rsid w:val="21F909DB"/>
    <w:rsid w:val="21FC0BE2"/>
    <w:rsid w:val="22135F61"/>
    <w:rsid w:val="22216317"/>
    <w:rsid w:val="222C42DA"/>
    <w:rsid w:val="222E68B4"/>
    <w:rsid w:val="22991311"/>
    <w:rsid w:val="22A317E5"/>
    <w:rsid w:val="22A85B6C"/>
    <w:rsid w:val="22AB77F0"/>
    <w:rsid w:val="22DF1342"/>
    <w:rsid w:val="231275C0"/>
    <w:rsid w:val="233069D0"/>
    <w:rsid w:val="234F1268"/>
    <w:rsid w:val="23692271"/>
    <w:rsid w:val="23E74A2D"/>
    <w:rsid w:val="23EC700C"/>
    <w:rsid w:val="24157FAC"/>
    <w:rsid w:val="241A7E86"/>
    <w:rsid w:val="245F4274"/>
    <w:rsid w:val="249242B2"/>
    <w:rsid w:val="24B772EA"/>
    <w:rsid w:val="24D23355"/>
    <w:rsid w:val="24FB5DDD"/>
    <w:rsid w:val="25377D89"/>
    <w:rsid w:val="25453DB2"/>
    <w:rsid w:val="254B6205"/>
    <w:rsid w:val="255B2F57"/>
    <w:rsid w:val="25661DCB"/>
    <w:rsid w:val="25AD5DB5"/>
    <w:rsid w:val="25CB5AF8"/>
    <w:rsid w:val="260813C8"/>
    <w:rsid w:val="260A3AD7"/>
    <w:rsid w:val="2610106D"/>
    <w:rsid w:val="2663091B"/>
    <w:rsid w:val="26A22B51"/>
    <w:rsid w:val="26AF2346"/>
    <w:rsid w:val="26C73549"/>
    <w:rsid w:val="26EA1354"/>
    <w:rsid w:val="2704214B"/>
    <w:rsid w:val="270E40AA"/>
    <w:rsid w:val="271B18CC"/>
    <w:rsid w:val="27303AFB"/>
    <w:rsid w:val="274C2412"/>
    <w:rsid w:val="27650B5A"/>
    <w:rsid w:val="277147F3"/>
    <w:rsid w:val="278F0CCF"/>
    <w:rsid w:val="27A4197F"/>
    <w:rsid w:val="27AD1B3E"/>
    <w:rsid w:val="27BE2898"/>
    <w:rsid w:val="27BE68CD"/>
    <w:rsid w:val="27F1279D"/>
    <w:rsid w:val="28080E5E"/>
    <w:rsid w:val="281C7664"/>
    <w:rsid w:val="282E4B2F"/>
    <w:rsid w:val="283313B6"/>
    <w:rsid w:val="285A1C39"/>
    <w:rsid w:val="285F1AB3"/>
    <w:rsid w:val="28A81066"/>
    <w:rsid w:val="28CB6908"/>
    <w:rsid w:val="28D1208A"/>
    <w:rsid w:val="28D40B2D"/>
    <w:rsid w:val="28EE425F"/>
    <w:rsid w:val="28FB5E16"/>
    <w:rsid w:val="29115E06"/>
    <w:rsid w:val="292B371B"/>
    <w:rsid w:val="2937686A"/>
    <w:rsid w:val="295415D2"/>
    <w:rsid w:val="298D7435"/>
    <w:rsid w:val="29A17D99"/>
    <w:rsid w:val="29A41B52"/>
    <w:rsid w:val="29E02B45"/>
    <w:rsid w:val="29E2636F"/>
    <w:rsid w:val="29F10FD8"/>
    <w:rsid w:val="29F37C33"/>
    <w:rsid w:val="29FA73B9"/>
    <w:rsid w:val="2A26235B"/>
    <w:rsid w:val="2A416912"/>
    <w:rsid w:val="2A83592A"/>
    <w:rsid w:val="2ACC0EB8"/>
    <w:rsid w:val="2B7F3693"/>
    <w:rsid w:val="2C6D07FA"/>
    <w:rsid w:val="2CE80506"/>
    <w:rsid w:val="2D0A3B7B"/>
    <w:rsid w:val="2D163DA8"/>
    <w:rsid w:val="2D4F46EC"/>
    <w:rsid w:val="2D5B0E1C"/>
    <w:rsid w:val="2D784BA3"/>
    <w:rsid w:val="2D7C355F"/>
    <w:rsid w:val="2D7D05F4"/>
    <w:rsid w:val="2D99024D"/>
    <w:rsid w:val="2DB4387B"/>
    <w:rsid w:val="2DBB5F66"/>
    <w:rsid w:val="2E3A462C"/>
    <w:rsid w:val="2E4273CE"/>
    <w:rsid w:val="2E48108A"/>
    <w:rsid w:val="2E85417A"/>
    <w:rsid w:val="2E89492E"/>
    <w:rsid w:val="2EB33841"/>
    <w:rsid w:val="2EC41B6D"/>
    <w:rsid w:val="2EE6563F"/>
    <w:rsid w:val="2F9E077E"/>
    <w:rsid w:val="2FF83B06"/>
    <w:rsid w:val="301A255B"/>
    <w:rsid w:val="302A1D26"/>
    <w:rsid w:val="30561FDE"/>
    <w:rsid w:val="30646375"/>
    <w:rsid w:val="306E1906"/>
    <w:rsid w:val="30762434"/>
    <w:rsid w:val="309A2B85"/>
    <w:rsid w:val="30DA2AE1"/>
    <w:rsid w:val="30FC360C"/>
    <w:rsid w:val="30FF0C3A"/>
    <w:rsid w:val="31284CE1"/>
    <w:rsid w:val="312B7DCA"/>
    <w:rsid w:val="313308E4"/>
    <w:rsid w:val="31947AF2"/>
    <w:rsid w:val="31AF36CD"/>
    <w:rsid w:val="322B2EA3"/>
    <w:rsid w:val="324F3182"/>
    <w:rsid w:val="32777C58"/>
    <w:rsid w:val="32843AED"/>
    <w:rsid w:val="32B7373A"/>
    <w:rsid w:val="32F06ECF"/>
    <w:rsid w:val="332641B8"/>
    <w:rsid w:val="334B062E"/>
    <w:rsid w:val="334F4746"/>
    <w:rsid w:val="335B4958"/>
    <w:rsid w:val="33BD1E9A"/>
    <w:rsid w:val="33CA4C70"/>
    <w:rsid w:val="33E760D1"/>
    <w:rsid w:val="33E91659"/>
    <w:rsid w:val="34140763"/>
    <w:rsid w:val="34163A6C"/>
    <w:rsid w:val="343F7BFE"/>
    <w:rsid w:val="34424918"/>
    <w:rsid w:val="344364AC"/>
    <w:rsid w:val="348928E9"/>
    <w:rsid w:val="34AB6925"/>
    <w:rsid w:val="34B2577B"/>
    <w:rsid w:val="34B75885"/>
    <w:rsid w:val="353D6BDC"/>
    <w:rsid w:val="358B553A"/>
    <w:rsid w:val="359E581A"/>
    <w:rsid w:val="35C641EF"/>
    <w:rsid w:val="35DE18CF"/>
    <w:rsid w:val="36533AEF"/>
    <w:rsid w:val="369176F5"/>
    <w:rsid w:val="36A57847"/>
    <w:rsid w:val="36B443EA"/>
    <w:rsid w:val="371B46FA"/>
    <w:rsid w:val="37270AF0"/>
    <w:rsid w:val="37646EFE"/>
    <w:rsid w:val="3786212E"/>
    <w:rsid w:val="37D252B4"/>
    <w:rsid w:val="37D369D0"/>
    <w:rsid w:val="37D91B47"/>
    <w:rsid w:val="37E40C6C"/>
    <w:rsid w:val="3818452B"/>
    <w:rsid w:val="385875C4"/>
    <w:rsid w:val="385E5891"/>
    <w:rsid w:val="3879462E"/>
    <w:rsid w:val="389430DF"/>
    <w:rsid w:val="38A80783"/>
    <w:rsid w:val="38A93EB9"/>
    <w:rsid w:val="38B02A99"/>
    <w:rsid w:val="38D07DFC"/>
    <w:rsid w:val="39055826"/>
    <w:rsid w:val="394C5F97"/>
    <w:rsid w:val="39613C1E"/>
    <w:rsid w:val="3982078E"/>
    <w:rsid w:val="399372B2"/>
    <w:rsid w:val="39AE41D2"/>
    <w:rsid w:val="39D31358"/>
    <w:rsid w:val="39E0478A"/>
    <w:rsid w:val="39ED4265"/>
    <w:rsid w:val="39FE1067"/>
    <w:rsid w:val="3A1F2E8F"/>
    <w:rsid w:val="3A223672"/>
    <w:rsid w:val="3A2E5285"/>
    <w:rsid w:val="3A54784F"/>
    <w:rsid w:val="3A6A279D"/>
    <w:rsid w:val="3A6A4614"/>
    <w:rsid w:val="3A8D5998"/>
    <w:rsid w:val="3B2C1913"/>
    <w:rsid w:val="3B382496"/>
    <w:rsid w:val="3B9A5506"/>
    <w:rsid w:val="3BA80FBD"/>
    <w:rsid w:val="3BD3727B"/>
    <w:rsid w:val="3BF154BB"/>
    <w:rsid w:val="3BF37C88"/>
    <w:rsid w:val="3C0B0F84"/>
    <w:rsid w:val="3C3C5E48"/>
    <w:rsid w:val="3C5B6F32"/>
    <w:rsid w:val="3C707009"/>
    <w:rsid w:val="3C8B4B34"/>
    <w:rsid w:val="3C96706B"/>
    <w:rsid w:val="3CBC1F21"/>
    <w:rsid w:val="3CBF298E"/>
    <w:rsid w:val="3CCF30D1"/>
    <w:rsid w:val="3CF54656"/>
    <w:rsid w:val="3D24051C"/>
    <w:rsid w:val="3D84174E"/>
    <w:rsid w:val="3DAF32EF"/>
    <w:rsid w:val="3DBF56B6"/>
    <w:rsid w:val="3DCA16E6"/>
    <w:rsid w:val="3DD60C72"/>
    <w:rsid w:val="3E050D58"/>
    <w:rsid w:val="3E1E4589"/>
    <w:rsid w:val="3E1E702A"/>
    <w:rsid w:val="3E533561"/>
    <w:rsid w:val="3E64419E"/>
    <w:rsid w:val="3E647EB9"/>
    <w:rsid w:val="3E653AA2"/>
    <w:rsid w:val="3E7E31ED"/>
    <w:rsid w:val="3E86332F"/>
    <w:rsid w:val="3E8A1D34"/>
    <w:rsid w:val="3E8B0F81"/>
    <w:rsid w:val="3EA22BC1"/>
    <w:rsid w:val="3EC53D89"/>
    <w:rsid w:val="3ED75C71"/>
    <w:rsid w:val="3EE63E19"/>
    <w:rsid w:val="3F28582E"/>
    <w:rsid w:val="3F2D1069"/>
    <w:rsid w:val="3F3E3DE6"/>
    <w:rsid w:val="3FBC792D"/>
    <w:rsid w:val="3FDB4DF9"/>
    <w:rsid w:val="3FF4618F"/>
    <w:rsid w:val="402D3082"/>
    <w:rsid w:val="409343F8"/>
    <w:rsid w:val="40C0455C"/>
    <w:rsid w:val="40CA1082"/>
    <w:rsid w:val="40F432E5"/>
    <w:rsid w:val="41073FB0"/>
    <w:rsid w:val="41104806"/>
    <w:rsid w:val="413C6C9D"/>
    <w:rsid w:val="41475064"/>
    <w:rsid w:val="41760DAA"/>
    <w:rsid w:val="41B217AD"/>
    <w:rsid w:val="41C134B4"/>
    <w:rsid w:val="41D77F47"/>
    <w:rsid w:val="420205FC"/>
    <w:rsid w:val="427563CC"/>
    <w:rsid w:val="427B4406"/>
    <w:rsid w:val="42AE5337"/>
    <w:rsid w:val="42E218A7"/>
    <w:rsid w:val="43513FA2"/>
    <w:rsid w:val="4360226B"/>
    <w:rsid w:val="43754446"/>
    <w:rsid w:val="438325F6"/>
    <w:rsid w:val="439547C6"/>
    <w:rsid w:val="43B41D58"/>
    <w:rsid w:val="44144BDA"/>
    <w:rsid w:val="44273E74"/>
    <w:rsid w:val="44322BA7"/>
    <w:rsid w:val="44333B6A"/>
    <w:rsid w:val="44746D63"/>
    <w:rsid w:val="44C2735F"/>
    <w:rsid w:val="44EE30EC"/>
    <w:rsid w:val="44EF7179"/>
    <w:rsid w:val="451013F2"/>
    <w:rsid w:val="45543799"/>
    <w:rsid w:val="455D068D"/>
    <w:rsid w:val="455E5705"/>
    <w:rsid w:val="4570473E"/>
    <w:rsid w:val="458774D6"/>
    <w:rsid w:val="45B50DF2"/>
    <w:rsid w:val="45C660BD"/>
    <w:rsid w:val="45C8487E"/>
    <w:rsid w:val="45DB7FEC"/>
    <w:rsid w:val="45E156F6"/>
    <w:rsid w:val="4623598A"/>
    <w:rsid w:val="46321875"/>
    <w:rsid w:val="46516AF2"/>
    <w:rsid w:val="4664330C"/>
    <w:rsid w:val="469A1EB2"/>
    <w:rsid w:val="46A31E7A"/>
    <w:rsid w:val="46DF0D23"/>
    <w:rsid w:val="471D38C3"/>
    <w:rsid w:val="47490F91"/>
    <w:rsid w:val="474A37F3"/>
    <w:rsid w:val="475D1683"/>
    <w:rsid w:val="47624D97"/>
    <w:rsid w:val="47B82A70"/>
    <w:rsid w:val="47C37DD4"/>
    <w:rsid w:val="47C64C80"/>
    <w:rsid w:val="48137006"/>
    <w:rsid w:val="481A54E6"/>
    <w:rsid w:val="48384227"/>
    <w:rsid w:val="48411C7B"/>
    <w:rsid w:val="48415CAB"/>
    <w:rsid w:val="486C0D05"/>
    <w:rsid w:val="48BF781E"/>
    <w:rsid w:val="48F65061"/>
    <w:rsid w:val="491752EC"/>
    <w:rsid w:val="495C4C31"/>
    <w:rsid w:val="496E7E9E"/>
    <w:rsid w:val="49756834"/>
    <w:rsid w:val="497D2E9F"/>
    <w:rsid w:val="49856859"/>
    <w:rsid w:val="49A21307"/>
    <w:rsid w:val="49BC364B"/>
    <w:rsid w:val="49D01F6E"/>
    <w:rsid w:val="49E26703"/>
    <w:rsid w:val="4A630677"/>
    <w:rsid w:val="4A7D2456"/>
    <w:rsid w:val="4AE146AB"/>
    <w:rsid w:val="4AE23EE5"/>
    <w:rsid w:val="4AEA1A92"/>
    <w:rsid w:val="4AED01A6"/>
    <w:rsid w:val="4B03365A"/>
    <w:rsid w:val="4B0F616B"/>
    <w:rsid w:val="4B7A5576"/>
    <w:rsid w:val="4B8B45A5"/>
    <w:rsid w:val="4B924737"/>
    <w:rsid w:val="4BA17D48"/>
    <w:rsid w:val="4BA3450E"/>
    <w:rsid w:val="4C7E5893"/>
    <w:rsid w:val="4C8F5111"/>
    <w:rsid w:val="4C995F8F"/>
    <w:rsid w:val="4CA90B76"/>
    <w:rsid w:val="4CE511D4"/>
    <w:rsid w:val="4D09409F"/>
    <w:rsid w:val="4D111FCA"/>
    <w:rsid w:val="4D180972"/>
    <w:rsid w:val="4D4E6F3F"/>
    <w:rsid w:val="4D56403C"/>
    <w:rsid w:val="4D5819A6"/>
    <w:rsid w:val="4D6A641C"/>
    <w:rsid w:val="4D706761"/>
    <w:rsid w:val="4D745B68"/>
    <w:rsid w:val="4D7C784E"/>
    <w:rsid w:val="4D903F55"/>
    <w:rsid w:val="4D9A0721"/>
    <w:rsid w:val="4D9C016F"/>
    <w:rsid w:val="4DCC6874"/>
    <w:rsid w:val="4DEE5C29"/>
    <w:rsid w:val="4E0D6488"/>
    <w:rsid w:val="4E1A658E"/>
    <w:rsid w:val="4E4B3FD5"/>
    <w:rsid w:val="4E581516"/>
    <w:rsid w:val="4E631E66"/>
    <w:rsid w:val="4F04452F"/>
    <w:rsid w:val="4F2E1EB8"/>
    <w:rsid w:val="4F6615C7"/>
    <w:rsid w:val="4FB76E58"/>
    <w:rsid w:val="4FBC3771"/>
    <w:rsid w:val="4FC72D21"/>
    <w:rsid w:val="4FCD45B4"/>
    <w:rsid w:val="4FD814A1"/>
    <w:rsid w:val="4FDE419D"/>
    <w:rsid w:val="4FF21C8A"/>
    <w:rsid w:val="4FF935FB"/>
    <w:rsid w:val="503F17E5"/>
    <w:rsid w:val="503F45EA"/>
    <w:rsid w:val="50516AC9"/>
    <w:rsid w:val="5057682C"/>
    <w:rsid w:val="5059538C"/>
    <w:rsid w:val="50624911"/>
    <w:rsid w:val="50637BC9"/>
    <w:rsid w:val="50722BD0"/>
    <w:rsid w:val="507D05F3"/>
    <w:rsid w:val="50A10C32"/>
    <w:rsid w:val="50A6136F"/>
    <w:rsid w:val="50EA6F8C"/>
    <w:rsid w:val="51233914"/>
    <w:rsid w:val="514E096E"/>
    <w:rsid w:val="515530B2"/>
    <w:rsid w:val="516D71BC"/>
    <w:rsid w:val="51A17E8B"/>
    <w:rsid w:val="51C23683"/>
    <w:rsid w:val="51ED084E"/>
    <w:rsid w:val="524853BD"/>
    <w:rsid w:val="52BB6C5F"/>
    <w:rsid w:val="52C02F6C"/>
    <w:rsid w:val="52D47D21"/>
    <w:rsid w:val="52DD78D4"/>
    <w:rsid w:val="52FD181C"/>
    <w:rsid w:val="532543EB"/>
    <w:rsid w:val="53620E89"/>
    <w:rsid w:val="53A73903"/>
    <w:rsid w:val="53C14D2B"/>
    <w:rsid w:val="53E00364"/>
    <w:rsid w:val="53E60EBB"/>
    <w:rsid w:val="540A1CCE"/>
    <w:rsid w:val="544F0904"/>
    <w:rsid w:val="549F04A9"/>
    <w:rsid w:val="54B3153C"/>
    <w:rsid w:val="54F16B32"/>
    <w:rsid w:val="554D6DD0"/>
    <w:rsid w:val="55581464"/>
    <w:rsid w:val="556500C1"/>
    <w:rsid w:val="557515DF"/>
    <w:rsid w:val="55AA65ED"/>
    <w:rsid w:val="55AB04BE"/>
    <w:rsid w:val="55C01FEA"/>
    <w:rsid w:val="55E14C51"/>
    <w:rsid w:val="55E80FE3"/>
    <w:rsid w:val="55F37A8B"/>
    <w:rsid w:val="56276C6C"/>
    <w:rsid w:val="564C1B5C"/>
    <w:rsid w:val="56C2654A"/>
    <w:rsid w:val="57025384"/>
    <w:rsid w:val="576547B6"/>
    <w:rsid w:val="57751923"/>
    <w:rsid w:val="577913D7"/>
    <w:rsid w:val="578C75C9"/>
    <w:rsid w:val="57D00535"/>
    <w:rsid w:val="580A6A1E"/>
    <w:rsid w:val="5810491B"/>
    <w:rsid w:val="582C39B8"/>
    <w:rsid w:val="588562C6"/>
    <w:rsid w:val="58880B00"/>
    <w:rsid w:val="588842D1"/>
    <w:rsid w:val="588D2179"/>
    <w:rsid w:val="5898329B"/>
    <w:rsid w:val="589F38E0"/>
    <w:rsid w:val="58AF01B9"/>
    <w:rsid w:val="58C40DA9"/>
    <w:rsid w:val="58E45101"/>
    <w:rsid w:val="59370B63"/>
    <w:rsid w:val="59451FAE"/>
    <w:rsid w:val="595C416F"/>
    <w:rsid w:val="59816ACA"/>
    <w:rsid w:val="59C621FD"/>
    <w:rsid w:val="59EA1E09"/>
    <w:rsid w:val="5A346BBC"/>
    <w:rsid w:val="5A80049F"/>
    <w:rsid w:val="5A832F04"/>
    <w:rsid w:val="5A9765EC"/>
    <w:rsid w:val="5ABE66AB"/>
    <w:rsid w:val="5ADF5CBA"/>
    <w:rsid w:val="5B041275"/>
    <w:rsid w:val="5B0703E7"/>
    <w:rsid w:val="5B17410C"/>
    <w:rsid w:val="5B2C6310"/>
    <w:rsid w:val="5B41135E"/>
    <w:rsid w:val="5BAB1CE5"/>
    <w:rsid w:val="5BBF7D5D"/>
    <w:rsid w:val="5BD40631"/>
    <w:rsid w:val="5BDB6DB3"/>
    <w:rsid w:val="5BF31EDA"/>
    <w:rsid w:val="5BF41A37"/>
    <w:rsid w:val="5BF94A7D"/>
    <w:rsid w:val="5C0438A0"/>
    <w:rsid w:val="5C050217"/>
    <w:rsid w:val="5C1353F8"/>
    <w:rsid w:val="5C1D69B9"/>
    <w:rsid w:val="5C505F03"/>
    <w:rsid w:val="5C5722EF"/>
    <w:rsid w:val="5C640A66"/>
    <w:rsid w:val="5C8C5BB8"/>
    <w:rsid w:val="5CA83EE8"/>
    <w:rsid w:val="5CCC3817"/>
    <w:rsid w:val="5D337EB1"/>
    <w:rsid w:val="5D3B0905"/>
    <w:rsid w:val="5DA4692F"/>
    <w:rsid w:val="5DBB2D63"/>
    <w:rsid w:val="5DC84466"/>
    <w:rsid w:val="5DE932D3"/>
    <w:rsid w:val="5DF94AE0"/>
    <w:rsid w:val="5E0157E5"/>
    <w:rsid w:val="5E3071CF"/>
    <w:rsid w:val="5E9430EA"/>
    <w:rsid w:val="5E9A6DC6"/>
    <w:rsid w:val="5EA200DB"/>
    <w:rsid w:val="5EAE18A7"/>
    <w:rsid w:val="5F110F50"/>
    <w:rsid w:val="5F2E724D"/>
    <w:rsid w:val="5F2F64D7"/>
    <w:rsid w:val="5F3F27A2"/>
    <w:rsid w:val="5F4A56F3"/>
    <w:rsid w:val="5F7626EB"/>
    <w:rsid w:val="5F923F1C"/>
    <w:rsid w:val="5FA63FE5"/>
    <w:rsid w:val="5FAF054D"/>
    <w:rsid w:val="5FD4603C"/>
    <w:rsid w:val="5FD63745"/>
    <w:rsid w:val="5FF92258"/>
    <w:rsid w:val="602C2B7A"/>
    <w:rsid w:val="603D7732"/>
    <w:rsid w:val="604545D9"/>
    <w:rsid w:val="60DA704C"/>
    <w:rsid w:val="60E750B4"/>
    <w:rsid w:val="611932A5"/>
    <w:rsid w:val="61825B41"/>
    <w:rsid w:val="61901DC3"/>
    <w:rsid w:val="61E213BF"/>
    <w:rsid w:val="624B076F"/>
    <w:rsid w:val="62996F9C"/>
    <w:rsid w:val="62B6066B"/>
    <w:rsid w:val="62C36D71"/>
    <w:rsid w:val="62F87608"/>
    <w:rsid w:val="63032B98"/>
    <w:rsid w:val="635158CA"/>
    <w:rsid w:val="63674602"/>
    <w:rsid w:val="636817AB"/>
    <w:rsid w:val="63A738A5"/>
    <w:rsid w:val="63CE2765"/>
    <w:rsid w:val="63CF52C0"/>
    <w:rsid w:val="63E14FCF"/>
    <w:rsid w:val="640D54B1"/>
    <w:rsid w:val="64447C8C"/>
    <w:rsid w:val="64532F7F"/>
    <w:rsid w:val="645D649B"/>
    <w:rsid w:val="646B4C38"/>
    <w:rsid w:val="647A3D7C"/>
    <w:rsid w:val="64B05EDF"/>
    <w:rsid w:val="64E77440"/>
    <w:rsid w:val="64E87C5E"/>
    <w:rsid w:val="659463CE"/>
    <w:rsid w:val="65B74CBC"/>
    <w:rsid w:val="65E81E10"/>
    <w:rsid w:val="65F9598A"/>
    <w:rsid w:val="663136E5"/>
    <w:rsid w:val="66406637"/>
    <w:rsid w:val="664771C3"/>
    <w:rsid w:val="664F4529"/>
    <w:rsid w:val="6682278C"/>
    <w:rsid w:val="66B82029"/>
    <w:rsid w:val="66E236DE"/>
    <w:rsid w:val="670B55B8"/>
    <w:rsid w:val="670C3F50"/>
    <w:rsid w:val="67335984"/>
    <w:rsid w:val="674274F1"/>
    <w:rsid w:val="676849BA"/>
    <w:rsid w:val="67B25F22"/>
    <w:rsid w:val="67C62563"/>
    <w:rsid w:val="67D423AB"/>
    <w:rsid w:val="67DA7C56"/>
    <w:rsid w:val="67F45289"/>
    <w:rsid w:val="68D91796"/>
    <w:rsid w:val="68E71123"/>
    <w:rsid w:val="68E96B9B"/>
    <w:rsid w:val="69082223"/>
    <w:rsid w:val="691C2841"/>
    <w:rsid w:val="694A4CF5"/>
    <w:rsid w:val="697310F7"/>
    <w:rsid w:val="698F51E6"/>
    <w:rsid w:val="69A33BB8"/>
    <w:rsid w:val="69FE2889"/>
    <w:rsid w:val="6A1B6609"/>
    <w:rsid w:val="6A294D9F"/>
    <w:rsid w:val="6A532CDD"/>
    <w:rsid w:val="6A88457C"/>
    <w:rsid w:val="6A8B1665"/>
    <w:rsid w:val="6A8C7109"/>
    <w:rsid w:val="6A9F0E62"/>
    <w:rsid w:val="6AB90DB3"/>
    <w:rsid w:val="6ACB3E55"/>
    <w:rsid w:val="6B1054C4"/>
    <w:rsid w:val="6B73094B"/>
    <w:rsid w:val="6B9140F4"/>
    <w:rsid w:val="6B9538B3"/>
    <w:rsid w:val="6BC21EF7"/>
    <w:rsid w:val="6BCD6C41"/>
    <w:rsid w:val="6BE31D23"/>
    <w:rsid w:val="6C242BF6"/>
    <w:rsid w:val="6C2F24A7"/>
    <w:rsid w:val="6C7745D3"/>
    <w:rsid w:val="6C895DA3"/>
    <w:rsid w:val="6CD87498"/>
    <w:rsid w:val="6CF43671"/>
    <w:rsid w:val="6CFB4989"/>
    <w:rsid w:val="6D13214D"/>
    <w:rsid w:val="6D8C1182"/>
    <w:rsid w:val="6D8C5AA6"/>
    <w:rsid w:val="6D985C91"/>
    <w:rsid w:val="6DAB5265"/>
    <w:rsid w:val="6E2E23E2"/>
    <w:rsid w:val="6E6C0FE3"/>
    <w:rsid w:val="6EAB6E09"/>
    <w:rsid w:val="6EBA5637"/>
    <w:rsid w:val="6EBE4973"/>
    <w:rsid w:val="6ECC5DAF"/>
    <w:rsid w:val="6EE250DE"/>
    <w:rsid w:val="6F20742A"/>
    <w:rsid w:val="6F410B26"/>
    <w:rsid w:val="6F63456A"/>
    <w:rsid w:val="6F80187C"/>
    <w:rsid w:val="6F8E64A4"/>
    <w:rsid w:val="6F9755DD"/>
    <w:rsid w:val="6F97780A"/>
    <w:rsid w:val="6FA11D8A"/>
    <w:rsid w:val="6FA53E70"/>
    <w:rsid w:val="6FB85DD9"/>
    <w:rsid w:val="6FC1515F"/>
    <w:rsid w:val="6FD30758"/>
    <w:rsid w:val="701875C9"/>
    <w:rsid w:val="702F3847"/>
    <w:rsid w:val="7079524E"/>
    <w:rsid w:val="70BA3CB3"/>
    <w:rsid w:val="70F0047B"/>
    <w:rsid w:val="710220AB"/>
    <w:rsid w:val="71076ED7"/>
    <w:rsid w:val="71323A53"/>
    <w:rsid w:val="714E0606"/>
    <w:rsid w:val="715B2D18"/>
    <w:rsid w:val="717D09D2"/>
    <w:rsid w:val="71B37ACA"/>
    <w:rsid w:val="71BE22CB"/>
    <w:rsid w:val="71CE539F"/>
    <w:rsid w:val="725D4E52"/>
    <w:rsid w:val="72764B3F"/>
    <w:rsid w:val="729E7EE9"/>
    <w:rsid w:val="72B407FD"/>
    <w:rsid w:val="72FA16F9"/>
    <w:rsid w:val="73056C17"/>
    <w:rsid w:val="732700BB"/>
    <w:rsid w:val="735C7B82"/>
    <w:rsid w:val="73804648"/>
    <w:rsid w:val="7392642C"/>
    <w:rsid w:val="73F853D1"/>
    <w:rsid w:val="740F13F2"/>
    <w:rsid w:val="74101A49"/>
    <w:rsid w:val="741F3D8D"/>
    <w:rsid w:val="74597C9A"/>
    <w:rsid w:val="746E38B5"/>
    <w:rsid w:val="747666D9"/>
    <w:rsid w:val="74792C6F"/>
    <w:rsid w:val="74B01C04"/>
    <w:rsid w:val="74B41A72"/>
    <w:rsid w:val="74CB28DA"/>
    <w:rsid w:val="7503264C"/>
    <w:rsid w:val="75062EF3"/>
    <w:rsid w:val="754059C7"/>
    <w:rsid w:val="75425936"/>
    <w:rsid w:val="755A49DD"/>
    <w:rsid w:val="756A5BA0"/>
    <w:rsid w:val="759C43DA"/>
    <w:rsid w:val="75E964E7"/>
    <w:rsid w:val="75ED39ED"/>
    <w:rsid w:val="76266658"/>
    <w:rsid w:val="76527886"/>
    <w:rsid w:val="7675283F"/>
    <w:rsid w:val="76965592"/>
    <w:rsid w:val="769A573A"/>
    <w:rsid w:val="76A149D8"/>
    <w:rsid w:val="76F325DE"/>
    <w:rsid w:val="76F73400"/>
    <w:rsid w:val="77060C62"/>
    <w:rsid w:val="771E65AC"/>
    <w:rsid w:val="772973AC"/>
    <w:rsid w:val="772C0745"/>
    <w:rsid w:val="77597B99"/>
    <w:rsid w:val="777B595A"/>
    <w:rsid w:val="779B5ABC"/>
    <w:rsid w:val="779C3E8F"/>
    <w:rsid w:val="77A926D5"/>
    <w:rsid w:val="77C931E4"/>
    <w:rsid w:val="77E63709"/>
    <w:rsid w:val="77F77BCD"/>
    <w:rsid w:val="781417AA"/>
    <w:rsid w:val="789A7407"/>
    <w:rsid w:val="78BF2753"/>
    <w:rsid w:val="78C91C66"/>
    <w:rsid w:val="78D764BB"/>
    <w:rsid w:val="78E5477F"/>
    <w:rsid w:val="79141E75"/>
    <w:rsid w:val="793B1308"/>
    <w:rsid w:val="798F779F"/>
    <w:rsid w:val="79985888"/>
    <w:rsid w:val="79A53FF2"/>
    <w:rsid w:val="79E80D0F"/>
    <w:rsid w:val="7A076A9F"/>
    <w:rsid w:val="7A212CCE"/>
    <w:rsid w:val="7A360BB3"/>
    <w:rsid w:val="7A4B27CF"/>
    <w:rsid w:val="7A7C0196"/>
    <w:rsid w:val="7A9969DA"/>
    <w:rsid w:val="7AB56360"/>
    <w:rsid w:val="7AF673A8"/>
    <w:rsid w:val="7B0408F4"/>
    <w:rsid w:val="7B0E23AD"/>
    <w:rsid w:val="7B2828BD"/>
    <w:rsid w:val="7B875236"/>
    <w:rsid w:val="7BB64662"/>
    <w:rsid w:val="7BCF7986"/>
    <w:rsid w:val="7BD858DD"/>
    <w:rsid w:val="7BF719B2"/>
    <w:rsid w:val="7C2B7CB2"/>
    <w:rsid w:val="7C2C2C73"/>
    <w:rsid w:val="7C326333"/>
    <w:rsid w:val="7C5636A2"/>
    <w:rsid w:val="7C8D26EA"/>
    <w:rsid w:val="7CD97057"/>
    <w:rsid w:val="7CE962A2"/>
    <w:rsid w:val="7D032FB9"/>
    <w:rsid w:val="7D1B5425"/>
    <w:rsid w:val="7D2D0298"/>
    <w:rsid w:val="7D5B548B"/>
    <w:rsid w:val="7D7B473D"/>
    <w:rsid w:val="7D963594"/>
    <w:rsid w:val="7DCE5237"/>
    <w:rsid w:val="7DD43C1A"/>
    <w:rsid w:val="7DFE05CD"/>
    <w:rsid w:val="7E0C2091"/>
    <w:rsid w:val="7E195BA4"/>
    <w:rsid w:val="7E6F4788"/>
    <w:rsid w:val="7E95419D"/>
    <w:rsid w:val="7E9D0A91"/>
    <w:rsid w:val="7EA30B06"/>
    <w:rsid w:val="7EEA631D"/>
    <w:rsid w:val="7EFE7E59"/>
    <w:rsid w:val="7F1B684A"/>
    <w:rsid w:val="7F292C73"/>
    <w:rsid w:val="7F636C15"/>
    <w:rsid w:val="7F9728ED"/>
    <w:rsid w:val="7FA2750C"/>
    <w:rsid w:val="7FC27F74"/>
    <w:rsid w:val="7FCC43B8"/>
    <w:rsid w:val="7FD10960"/>
    <w:rsid w:val="7FDE2FEB"/>
    <w:rsid w:val="7FE37485"/>
    <w:rsid w:val="7FF226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b/>
      <w:bCs/>
      <w:kern w:val="0"/>
      <w:sz w:val="27"/>
      <w:szCs w:val="27"/>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autoRedefine/>
    <w:semiHidden/>
    <w:unhideWhenUsed/>
    <w:qFormat/>
    <w:uiPriority w:val="99"/>
    <w:pPr>
      <w:jc w:val="left"/>
    </w:pPr>
  </w:style>
  <w:style w:type="paragraph" w:styleId="4">
    <w:name w:val="Balloon Text"/>
    <w:basedOn w:val="1"/>
    <w:link w:val="31"/>
    <w:qFormat/>
    <w:uiPriority w:val="0"/>
    <w:rPr>
      <w:sz w:val="18"/>
      <w:szCs w:val="18"/>
    </w:rPr>
  </w:style>
  <w:style w:type="paragraph" w:styleId="5">
    <w:name w:val="footer"/>
    <w:basedOn w:val="1"/>
    <w:autoRedefine/>
    <w:unhideWhenUsed/>
    <w:qFormat/>
    <w:uiPriority w:val="99"/>
    <w:pPr>
      <w:tabs>
        <w:tab w:val="center" w:pos="4153"/>
        <w:tab w:val="right" w:pos="8306"/>
      </w:tabs>
      <w:snapToGrid w:val="0"/>
      <w:jc w:val="left"/>
    </w:pPr>
    <w:rPr>
      <w:sz w:val="18"/>
      <w:szCs w:val="18"/>
    </w:rPr>
  </w:style>
  <w:style w:type="paragraph" w:styleId="6">
    <w:name w:val="header"/>
    <w:basedOn w:val="1"/>
    <w:link w:val="29"/>
    <w:autoRedefine/>
    <w:qFormat/>
    <w:uiPriority w:val="0"/>
    <w:pPr>
      <w:tabs>
        <w:tab w:val="center" w:pos="4153"/>
        <w:tab w:val="right" w:pos="8306"/>
      </w:tabs>
      <w:snapToGrid w:val="0"/>
      <w:jc w:val="center"/>
    </w:pPr>
    <w:rPr>
      <w:sz w:val="18"/>
      <w:szCs w:val="18"/>
    </w:rPr>
  </w:style>
  <w:style w:type="paragraph" w:styleId="7">
    <w:name w:val="toc 1"/>
    <w:basedOn w:val="1"/>
    <w:next w:val="1"/>
    <w:autoRedefine/>
    <w:unhideWhenUsed/>
    <w:qFormat/>
    <w:uiPriority w:val="39"/>
    <w:rPr>
      <w:rFonts w:ascii="宋体"/>
    </w:rPr>
  </w:style>
  <w:style w:type="paragraph" w:styleId="8">
    <w:name w:val="toc 2"/>
    <w:basedOn w:val="1"/>
    <w:next w:val="1"/>
    <w:autoRedefine/>
    <w:unhideWhenUsed/>
    <w:qFormat/>
    <w:uiPriority w:val="39"/>
    <w:pPr>
      <w:tabs>
        <w:tab w:val="right" w:leader="dot" w:pos="9344"/>
      </w:tabs>
      <w:spacing w:line="300" w:lineRule="exact"/>
      <w:ind w:left="210"/>
    </w:pPr>
    <w:rPr>
      <w:rFonts w:ascii="宋体"/>
    </w:rPr>
  </w:style>
  <w:style w:type="paragraph" w:styleId="9">
    <w:name w:val="Normal (Web)"/>
    <w:basedOn w:val="1"/>
    <w:autoRedefine/>
    <w:semiHidden/>
    <w:unhideWhenUsed/>
    <w:qFormat/>
    <w:uiPriority w:val="99"/>
    <w:pPr>
      <w:spacing w:beforeAutospacing="1" w:afterAutospacing="1"/>
      <w:jc w:val="left"/>
    </w:pPr>
    <w:rPr>
      <w:kern w:val="0"/>
      <w:sz w:val="24"/>
    </w:rPr>
  </w:style>
  <w:style w:type="table" w:styleId="11">
    <w:name w:val="Table Grid"/>
    <w:basedOn w:val="1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autoRedefine/>
    <w:qFormat/>
    <w:uiPriority w:val="99"/>
    <w:rPr>
      <w:rFonts w:ascii="宋体" w:hAnsi="Times New Roman" w:eastAsia="宋体"/>
      <w:color w:val="auto"/>
      <w:spacing w:val="0"/>
      <w:w w:val="100"/>
      <w:position w:val="0"/>
      <w:sz w:val="21"/>
      <w:u w:val="none"/>
      <w:vertAlign w:val="baseline"/>
    </w:rPr>
  </w:style>
  <w:style w:type="character" w:styleId="14">
    <w:name w:val="annotation reference"/>
    <w:basedOn w:val="12"/>
    <w:qFormat/>
    <w:uiPriority w:val="0"/>
    <w:rPr>
      <w:sz w:val="21"/>
      <w:szCs w:val="21"/>
    </w:rPr>
  </w:style>
  <w:style w:type="character" w:customStyle="1" w:styleId="15">
    <w:name w:val="font61"/>
    <w:basedOn w:val="12"/>
    <w:autoRedefine/>
    <w:qFormat/>
    <w:uiPriority w:val="0"/>
    <w:rPr>
      <w:rFonts w:hint="eastAsia" w:ascii="宋体" w:hAnsi="宋体" w:eastAsia="宋体" w:cs="宋体"/>
      <w:color w:val="000000"/>
      <w:sz w:val="20"/>
      <w:szCs w:val="20"/>
      <w:u w:val="none"/>
    </w:rPr>
  </w:style>
  <w:style w:type="character" w:customStyle="1" w:styleId="16">
    <w:name w:val="font31"/>
    <w:basedOn w:val="12"/>
    <w:autoRedefine/>
    <w:qFormat/>
    <w:uiPriority w:val="0"/>
    <w:rPr>
      <w:rFonts w:hint="default" w:ascii="Symbol" w:hAnsi="Symbol" w:cs="Symbol"/>
      <w:color w:val="000000"/>
      <w:sz w:val="20"/>
      <w:szCs w:val="20"/>
      <w:u w:val="none"/>
    </w:rPr>
  </w:style>
  <w:style w:type="character" w:customStyle="1" w:styleId="17">
    <w:name w:val="font41"/>
    <w:basedOn w:val="12"/>
    <w:autoRedefine/>
    <w:qFormat/>
    <w:uiPriority w:val="0"/>
    <w:rPr>
      <w:rFonts w:hint="default" w:ascii="Times New Roman" w:hAnsi="Times New Roman" w:cs="Times New Roman"/>
      <w:color w:val="000000"/>
      <w:sz w:val="20"/>
      <w:szCs w:val="20"/>
      <w:u w:val="none"/>
    </w:rPr>
  </w:style>
  <w:style w:type="character" w:customStyle="1" w:styleId="18">
    <w:name w:val="font71"/>
    <w:basedOn w:val="12"/>
    <w:autoRedefine/>
    <w:qFormat/>
    <w:uiPriority w:val="0"/>
    <w:rPr>
      <w:rFonts w:hint="default" w:ascii="Times New Roman" w:hAnsi="Times New Roman" w:cs="Times New Roman"/>
      <w:color w:val="000000"/>
      <w:sz w:val="20"/>
      <w:szCs w:val="20"/>
      <w:u w:val="none"/>
      <w:vertAlign w:val="subscript"/>
    </w:rPr>
  </w:style>
  <w:style w:type="character" w:customStyle="1" w:styleId="19">
    <w:name w:val="font51"/>
    <w:basedOn w:val="12"/>
    <w:autoRedefine/>
    <w:qFormat/>
    <w:uiPriority w:val="0"/>
    <w:rPr>
      <w:rFonts w:hint="eastAsia" w:ascii="宋体" w:hAnsi="宋体" w:eastAsia="宋体" w:cs="宋体"/>
      <w:color w:val="000000"/>
      <w:sz w:val="20"/>
      <w:szCs w:val="20"/>
      <w:u w:val="none"/>
      <w:vertAlign w:val="subscript"/>
    </w:rPr>
  </w:style>
  <w:style w:type="paragraph" w:styleId="20">
    <w:name w:val="List Paragraph"/>
    <w:basedOn w:val="1"/>
    <w:autoRedefine/>
    <w:qFormat/>
    <w:uiPriority w:val="34"/>
    <w:pPr>
      <w:ind w:firstLine="420" w:firstLineChars="200"/>
    </w:pPr>
  </w:style>
  <w:style w:type="character" w:customStyle="1" w:styleId="21">
    <w:name w:val="font11"/>
    <w:basedOn w:val="12"/>
    <w:autoRedefine/>
    <w:qFormat/>
    <w:uiPriority w:val="0"/>
    <w:rPr>
      <w:rFonts w:hint="eastAsia" w:ascii="宋体" w:hAnsi="宋体" w:eastAsia="宋体" w:cs="宋体"/>
      <w:color w:val="000000"/>
      <w:sz w:val="20"/>
      <w:szCs w:val="20"/>
      <w:u w:val="none"/>
    </w:rPr>
  </w:style>
  <w:style w:type="paragraph" w:customStyle="1" w:styleId="22">
    <w:name w:val="标准文件_段"/>
    <w:link w:val="30"/>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3">
    <w:name w:val="标准文件_一级条标题"/>
    <w:basedOn w:val="24"/>
    <w:next w:val="22"/>
    <w:autoRedefine/>
    <w:qFormat/>
    <w:uiPriority w:val="0"/>
    <w:pPr>
      <w:numPr>
        <w:ilvl w:val="2"/>
      </w:numPr>
      <w:spacing w:beforeLines="50" w:afterLines="50"/>
      <w:outlineLvl w:val="1"/>
    </w:pPr>
  </w:style>
  <w:style w:type="paragraph" w:customStyle="1" w:styleId="24">
    <w:name w:val="标准文件_章标题"/>
    <w:next w:val="22"/>
    <w:autoRedefine/>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25">
    <w:name w:val="标准文件_三级条标题"/>
    <w:basedOn w:val="26"/>
    <w:next w:val="22"/>
    <w:autoRedefine/>
    <w:qFormat/>
    <w:uiPriority w:val="0"/>
    <w:pPr>
      <w:widowControl/>
      <w:numPr>
        <w:ilvl w:val="4"/>
      </w:numPr>
      <w:outlineLvl w:val="3"/>
    </w:pPr>
  </w:style>
  <w:style w:type="paragraph" w:customStyle="1" w:styleId="26">
    <w:name w:val="标准文件_二级条标题"/>
    <w:next w:val="22"/>
    <w:autoRedefine/>
    <w:qFormat/>
    <w:uiPriority w:val="0"/>
    <w:pPr>
      <w:widowControl w:val="0"/>
      <w:numPr>
        <w:ilvl w:val="3"/>
        <w:numId w:val="1"/>
      </w:numPr>
      <w:spacing w:beforeLines="50" w:afterLines="50"/>
      <w:jc w:val="both"/>
      <w:outlineLvl w:val="2"/>
    </w:pPr>
    <w:rPr>
      <w:rFonts w:ascii="黑体" w:hAnsi="Times New Roman" w:eastAsia="黑体" w:cs="Times New Roman"/>
      <w:sz w:val="21"/>
      <w:lang w:val="en-US" w:eastAsia="zh-CN" w:bidi="ar-SA"/>
    </w:rPr>
  </w:style>
  <w:style w:type="paragraph" w:customStyle="1" w:styleId="27">
    <w:name w:val="标准文件_一级项"/>
    <w:autoRedefine/>
    <w:qFormat/>
    <w:uiPriority w:val="0"/>
    <w:pPr>
      <w:numPr>
        <w:ilvl w:val="0"/>
        <w:numId w:val="2"/>
      </w:numPr>
    </w:pPr>
    <w:rPr>
      <w:rFonts w:ascii="宋体" w:hAnsi="Times New Roman" w:eastAsia="宋体" w:cs="Times New Roman"/>
      <w:sz w:val="21"/>
      <w:lang w:val="en-US" w:eastAsia="zh-CN" w:bidi="ar-SA"/>
    </w:rPr>
  </w:style>
  <w:style w:type="paragraph" w:customStyle="1" w:styleId="28">
    <w:name w:val="标准文件_字母编号列项（一级）"/>
    <w:autoRedefine/>
    <w:qFormat/>
    <w:uiPriority w:val="0"/>
    <w:pPr>
      <w:numPr>
        <w:ilvl w:val="0"/>
        <w:numId w:val="3"/>
      </w:numPr>
      <w:jc w:val="both"/>
    </w:pPr>
    <w:rPr>
      <w:rFonts w:ascii="宋体" w:hAnsi="Times New Roman" w:eastAsia="宋体" w:cs="Times New Roman"/>
      <w:sz w:val="21"/>
      <w:lang w:val="en-US" w:eastAsia="zh-CN" w:bidi="ar-SA"/>
    </w:rPr>
  </w:style>
  <w:style w:type="character" w:customStyle="1" w:styleId="29">
    <w:name w:val="页眉 Char"/>
    <w:basedOn w:val="12"/>
    <w:link w:val="6"/>
    <w:autoRedefine/>
    <w:qFormat/>
    <w:uiPriority w:val="0"/>
    <w:rPr>
      <w:rFonts w:ascii="Times New Roman" w:hAnsi="Times New Roman"/>
      <w:kern w:val="2"/>
      <w:sz w:val="18"/>
      <w:szCs w:val="18"/>
    </w:rPr>
  </w:style>
  <w:style w:type="character" w:customStyle="1" w:styleId="30">
    <w:name w:val="标准文件_段 Char"/>
    <w:link w:val="22"/>
    <w:autoRedefine/>
    <w:qFormat/>
    <w:uiPriority w:val="0"/>
    <w:rPr>
      <w:rFonts w:ascii="宋体" w:hAnsi="Times New Roman"/>
      <w:sz w:val="21"/>
    </w:rPr>
  </w:style>
  <w:style w:type="character" w:customStyle="1" w:styleId="31">
    <w:name w:val="批注框文本 Char"/>
    <w:basedOn w:val="12"/>
    <w:link w:val="4"/>
    <w:qFormat/>
    <w:uiPriority w:val="0"/>
    <w:rPr>
      <w:rFonts w:ascii="Times New Roman" w:hAnsi="Times New Roman"/>
      <w:kern w:val="2"/>
      <w:sz w:val="18"/>
      <w:szCs w:val="18"/>
    </w:rPr>
  </w:style>
  <w:style w:type="paragraph" w:customStyle="1" w:styleId="32">
    <w:name w:val="列项——（一级）"/>
    <w:qFormat/>
    <w:uiPriority w:val="0"/>
    <w:pPr>
      <w:widowControl w:val="0"/>
      <w:ind w:left="833" w:hanging="408"/>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2009</Words>
  <Characters>2341</Characters>
  <Lines>56</Lines>
  <Paragraphs>15</Paragraphs>
  <TotalTime>2</TotalTime>
  <ScaleCrop>false</ScaleCrop>
  <LinksUpToDate>false</LinksUpToDate>
  <CharactersWithSpaces>2390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2024-02-18T07:06:00Z</dcterms:created>
  <dc:creator>Administrator</dc:creator>
  <cp:lastModifiedBy>李一民</cp:lastModifiedBy>
  <cp:lastPrinted>2024-03-27T01:44:00Z</cp:lastPrinted>
  <dcterms:modified xsi:type="dcterms:W3CDTF">2025-09-02T04:02:39Z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DB0378EFCE24495A955CB8D1CBB2E75C_13</vt:lpwstr>
  </property>
  <property fmtid="{D5CDD505-2E9C-101B-9397-08002B2CF9AE}" pid="4" name="KSOTemplateDocerSaveRecord">
    <vt:lpwstr>eyJoZGlkIjoiNzIwMTgxNmE2ZDFiZjVjODA2ODZiNWVlYWY1ZTIzM2EiLCJ1c2VySWQiOiI0MDAxMTkyIn0=</vt:lpwstr>
  </property>
</Properties>
</file>